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23" w:rsidRDefault="00F40223" w:rsidP="00F40223">
      <w:pPr>
        <w:spacing w:before="100" w:beforeAutospacing="1" w:after="100" w:afterAutospacing="1" w:line="240" w:lineRule="auto"/>
        <w:jc w:val="center"/>
        <w:rPr>
          <w:rFonts w:ascii="Times New Roman" w:eastAsia="Times New Roman" w:hAnsi="Times New Roman" w:cs="Times New Roman" w:hint="cs"/>
          <w:sz w:val="24"/>
          <w:szCs w:val="24"/>
          <w:rtl/>
        </w:rPr>
      </w:pPr>
      <w:bookmarkStart w:id="0" w:name="_GoBack"/>
      <w:r w:rsidRPr="00F40223">
        <w:rPr>
          <w:rFonts w:ascii="Times New Roman" w:eastAsia="Times New Roman" w:hAnsi="Times New Roman" w:cs="Times New Roman" w:hint="cs"/>
          <w:sz w:val="24"/>
          <w:szCs w:val="24"/>
          <w:rtl/>
        </w:rPr>
        <w:t>أثر</w:t>
      </w:r>
      <w:r w:rsidRPr="00F40223">
        <w:rPr>
          <w:rFonts w:ascii="Times New Roman" w:eastAsia="Times New Roman" w:hAnsi="Times New Roman" w:cs="Times New Roman"/>
          <w:sz w:val="24"/>
          <w:szCs w:val="24"/>
          <w:rtl/>
        </w:rPr>
        <w:t xml:space="preserve"> </w:t>
      </w:r>
      <w:r w:rsidRPr="00F40223">
        <w:rPr>
          <w:rFonts w:ascii="Times New Roman" w:eastAsia="Times New Roman" w:hAnsi="Times New Roman" w:cs="Times New Roman" w:hint="cs"/>
          <w:sz w:val="24"/>
          <w:szCs w:val="24"/>
          <w:rtl/>
        </w:rPr>
        <w:t>المنابع</w:t>
      </w:r>
      <w:r w:rsidRPr="00F40223">
        <w:rPr>
          <w:rFonts w:ascii="Times New Roman" w:eastAsia="Times New Roman" w:hAnsi="Times New Roman" w:cs="Times New Roman"/>
          <w:sz w:val="24"/>
          <w:szCs w:val="24"/>
          <w:rtl/>
        </w:rPr>
        <w:t xml:space="preserve"> </w:t>
      </w:r>
      <w:r w:rsidRPr="00F40223">
        <w:rPr>
          <w:rFonts w:ascii="Times New Roman" w:eastAsia="Times New Roman" w:hAnsi="Times New Roman" w:cs="Times New Roman" w:hint="cs"/>
          <w:sz w:val="24"/>
          <w:szCs w:val="24"/>
          <w:rtl/>
        </w:rPr>
        <w:t>الثقافية</w:t>
      </w:r>
      <w:r w:rsidRPr="00F40223">
        <w:rPr>
          <w:rFonts w:ascii="Times New Roman" w:eastAsia="Times New Roman" w:hAnsi="Times New Roman" w:cs="Times New Roman"/>
          <w:sz w:val="24"/>
          <w:szCs w:val="24"/>
          <w:rtl/>
        </w:rPr>
        <w:t xml:space="preserve"> </w:t>
      </w:r>
      <w:r w:rsidRPr="00F40223">
        <w:rPr>
          <w:rFonts w:ascii="Times New Roman" w:eastAsia="Times New Roman" w:hAnsi="Times New Roman" w:cs="Times New Roman" w:hint="cs"/>
          <w:sz w:val="24"/>
          <w:szCs w:val="24"/>
          <w:rtl/>
        </w:rPr>
        <w:t>والحركية</w:t>
      </w:r>
      <w:r w:rsidRPr="00F40223">
        <w:rPr>
          <w:rFonts w:ascii="Times New Roman" w:eastAsia="Times New Roman" w:hAnsi="Times New Roman" w:cs="Times New Roman"/>
          <w:sz w:val="24"/>
          <w:szCs w:val="24"/>
          <w:rtl/>
        </w:rPr>
        <w:t xml:space="preserve"> </w:t>
      </w:r>
      <w:r w:rsidRPr="00F40223">
        <w:rPr>
          <w:rFonts w:ascii="Times New Roman" w:eastAsia="Times New Roman" w:hAnsi="Times New Roman" w:cs="Times New Roman" w:hint="cs"/>
          <w:sz w:val="24"/>
          <w:szCs w:val="24"/>
          <w:rtl/>
        </w:rPr>
        <w:t>على</w:t>
      </w:r>
      <w:r w:rsidRPr="00F40223">
        <w:rPr>
          <w:rFonts w:ascii="Times New Roman" w:eastAsia="Times New Roman" w:hAnsi="Times New Roman" w:cs="Times New Roman"/>
          <w:sz w:val="24"/>
          <w:szCs w:val="24"/>
          <w:rtl/>
        </w:rPr>
        <w:t xml:space="preserve"> </w:t>
      </w:r>
      <w:r w:rsidRPr="00F40223">
        <w:rPr>
          <w:rFonts w:ascii="Times New Roman" w:eastAsia="Times New Roman" w:hAnsi="Times New Roman" w:cs="Times New Roman" w:hint="cs"/>
          <w:sz w:val="24"/>
          <w:szCs w:val="24"/>
          <w:rtl/>
        </w:rPr>
        <w:t>الاجتهاد</w:t>
      </w:r>
      <w:r w:rsidRPr="00F40223">
        <w:rPr>
          <w:rFonts w:ascii="Times New Roman" w:eastAsia="Times New Roman" w:hAnsi="Times New Roman" w:cs="Times New Roman"/>
          <w:sz w:val="24"/>
          <w:szCs w:val="24"/>
          <w:rtl/>
        </w:rPr>
        <w:t xml:space="preserve"> </w:t>
      </w:r>
      <w:r w:rsidRPr="00F40223">
        <w:rPr>
          <w:rFonts w:ascii="Times New Roman" w:eastAsia="Times New Roman" w:hAnsi="Times New Roman" w:cs="Times New Roman" w:hint="cs"/>
          <w:sz w:val="24"/>
          <w:szCs w:val="24"/>
          <w:rtl/>
        </w:rPr>
        <w:t>الفقهي</w:t>
      </w:r>
      <w:r w:rsidRPr="00F40223">
        <w:rPr>
          <w:rFonts w:ascii="Times New Roman" w:eastAsia="Times New Roman" w:hAnsi="Times New Roman" w:cs="Times New Roman"/>
          <w:sz w:val="24"/>
          <w:szCs w:val="24"/>
          <w:rtl/>
        </w:rPr>
        <w:t xml:space="preserve"> </w:t>
      </w:r>
      <w:r w:rsidRPr="00F40223">
        <w:rPr>
          <w:rFonts w:ascii="Times New Roman" w:eastAsia="Times New Roman" w:hAnsi="Times New Roman" w:cs="Times New Roman" w:hint="cs"/>
          <w:sz w:val="24"/>
          <w:szCs w:val="24"/>
          <w:rtl/>
        </w:rPr>
        <w:t>عند</w:t>
      </w:r>
      <w:r w:rsidRPr="00F40223">
        <w:rPr>
          <w:rFonts w:ascii="Times New Roman" w:eastAsia="Times New Roman" w:hAnsi="Times New Roman" w:cs="Times New Roman"/>
          <w:sz w:val="24"/>
          <w:szCs w:val="24"/>
          <w:rtl/>
        </w:rPr>
        <w:t xml:space="preserve"> </w:t>
      </w:r>
      <w:r w:rsidRPr="00F40223">
        <w:rPr>
          <w:rFonts w:ascii="Times New Roman" w:eastAsia="Times New Roman" w:hAnsi="Times New Roman" w:cs="Times New Roman" w:hint="cs"/>
          <w:sz w:val="24"/>
          <w:szCs w:val="24"/>
          <w:rtl/>
        </w:rPr>
        <w:t>الدكتور</w:t>
      </w:r>
      <w:r w:rsidRPr="00F40223">
        <w:rPr>
          <w:rFonts w:ascii="Times New Roman" w:eastAsia="Times New Roman" w:hAnsi="Times New Roman" w:cs="Times New Roman"/>
          <w:sz w:val="24"/>
          <w:szCs w:val="24"/>
          <w:rtl/>
        </w:rPr>
        <w:t xml:space="preserve"> </w:t>
      </w:r>
      <w:r w:rsidRPr="00F40223">
        <w:rPr>
          <w:rFonts w:ascii="Times New Roman" w:eastAsia="Times New Roman" w:hAnsi="Times New Roman" w:cs="Times New Roman" w:hint="cs"/>
          <w:sz w:val="24"/>
          <w:szCs w:val="24"/>
          <w:rtl/>
        </w:rPr>
        <w:t>عبدالهادي</w:t>
      </w:r>
      <w:r w:rsidRPr="00F40223">
        <w:rPr>
          <w:rFonts w:ascii="Times New Roman" w:eastAsia="Times New Roman" w:hAnsi="Times New Roman" w:cs="Times New Roman"/>
          <w:sz w:val="24"/>
          <w:szCs w:val="24"/>
          <w:rtl/>
        </w:rPr>
        <w:t xml:space="preserve"> </w:t>
      </w:r>
      <w:r w:rsidRPr="00F40223">
        <w:rPr>
          <w:rFonts w:ascii="Times New Roman" w:eastAsia="Times New Roman" w:hAnsi="Times New Roman" w:cs="Times New Roman" w:hint="cs"/>
          <w:sz w:val="24"/>
          <w:szCs w:val="24"/>
          <w:rtl/>
        </w:rPr>
        <w:t>الفضلي</w:t>
      </w:r>
    </w:p>
    <w:bookmarkEnd w:id="0"/>
    <w:p w:rsidR="00F40223" w:rsidRPr="00F40223" w:rsidRDefault="00F40223" w:rsidP="00F40223">
      <w:pPr>
        <w:spacing w:before="100" w:beforeAutospacing="1" w:after="100" w:afterAutospacing="1" w:line="240" w:lineRule="auto"/>
        <w:jc w:val="center"/>
        <w:rPr>
          <w:rFonts w:ascii="Times New Roman" w:eastAsia="Times New Roman" w:hAnsi="Times New Roman" w:cs="Times New Roman" w:hint="cs"/>
          <w:b/>
          <w:bCs/>
          <w:sz w:val="24"/>
          <w:szCs w:val="24"/>
          <w:rtl/>
        </w:rPr>
      </w:pPr>
      <w:r w:rsidRPr="00F40223">
        <w:rPr>
          <w:rFonts w:ascii="Times New Roman" w:eastAsia="Times New Roman" w:hAnsi="Times New Roman" w:cs="Times New Roman" w:hint="cs"/>
          <w:b/>
          <w:bCs/>
          <w:sz w:val="24"/>
          <w:szCs w:val="24"/>
          <w:rtl/>
        </w:rPr>
        <w:t>حسین منصور الشیخ</w:t>
      </w:r>
    </w:p>
    <w:p w:rsidR="00F40223" w:rsidRDefault="00F40223" w:rsidP="00F40223">
      <w:pPr>
        <w:spacing w:before="100" w:beforeAutospacing="1" w:after="100" w:afterAutospacing="1" w:line="240" w:lineRule="auto"/>
        <w:jc w:val="center"/>
        <w:rPr>
          <w:rFonts w:ascii="Times New Roman" w:eastAsia="Times New Roman" w:hAnsi="Times New Roman" w:cs="Times New Roman" w:hint="cs"/>
          <w:sz w:val="24"/>
          <w:szCs w:val="24"/>
          <w:rtl/>
          <w:lang w:bidi="ar-EG"/>
        </w:rPr>
      </w:pPr>
      <w:r>
        <w:rPr>
          <w:rFonts w:ascii="Times New Roman" w:eastAsia="Times New Roman" w:hAnsi="Times New Roman" w:cs="Times New Roman" w:hint="cs"/>
          <w:sz w:val="24"/>
          <w:szCs w:val="24"/>
          <w:rtl/>
        </w:rPr>
        <w:t>مجل</w:t>
      </w:r>
      <w:r>
        <w:rPr>
          <w:rFonts w:ascii="Times New Roman" w:eastAsia="Times New Roman" w:hAnsi="Times New Roman" w:cs="Times New Roman" w:hint="cs"/>
          <w:sz w:val="24"/>
          <w:szCs w:val="24"/>
          <w:rtl/>
          <w:lang w:bidi="ar-EG"/>
        </w:rPr>
        <w:t>ة الكلمة العدد 104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Pr>
      </w:pPr>
      <w:r w:rsidRPr="00F40223">
        <w:rPr>
          <w:rFonts w:ascii="Times New Roman" w:eastAsia="Times New Roman" w:hAnsi="Times New Roman" w:cs="Times New Roman"/>
          <w:sz w:val="24"/>
          <w:szCs w:val="24"/>
          <w:rtl/>
        </w:rPr>
        <w:t>مع بدايات القرن الهجري الثاني أُسِّسَت العديد من العلوم الإسلامية التي مثّلت حينها ضرورةً لبناء المجتمع المسلم معرفيًّا ومدنيًّا. وقد ترافق تأسيس هذه العلوم مع انفتاح المجتمع المسلم على معطيات الحضارة اليونانية عن طريق ترجمة تراثها الفكري والعلمي.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ولعلّ من أبرز ما ساهم في تقعيد وتنظيم تلكم العلوم: الإفادة من المنطق الأرسطي الذي شكّل في حينها -ولقرون متطاولة- المنهج العلمي للبحث والدراسة، والأساس في تبويب العلوم وتقسيم مسائلها وآلية الاستدلال فيها.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ومن شواهد تأثُّر العلوم الإسلامية بالآلية المنطقية والعُقَلائية في التبويب: التقسيم الحالي لأبواب الفقه، إذ يُقسَّم إلى: عبادات، وعقود، وإيقاعات، وأحكام.</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وقد بُوِّبَت هذا التبويب اعتمادًا على التقسيم الثنائي القائم على الترديد بين الإيجاب والنفي، فالأحكام الفقهية: إمّا متعلّقة بالآخرة أو لا، فالأولى هي أحكام العبادات، والأخرى: إمّا أن تحتاج إلى عبارات لفظية محدّدة أَوْ لَا، فالثانية هي: الأحكام، والأولى: إما أن يُشترط فيها وجود طرفين أَوْ لَا، فالأولى: العقود، والثانية: الإيقاعات. ويمكن تمثيلها بالتشجير التالي:</w:t>
      </w:r>
    </w:p>
    <w:p w:rsidR="00F40223" w:rsidRPr="00F40223" w:rsidRDefault="00F40223" w:rsidP="00F40223">
      <w:pPr>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5272391" cy="2600128"/>
            <wp:effectExtent l="0" t="0" r="5080" b="0"/>
            <wp:docPr id="1" name="Picture 1" descr="أبواب الفق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بواب الفق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2493" cy="2600178"/>
                    </a:xfrm>
                    <a:prstGeom prst="rect">
                      <a:avLst/>
                    </a:prstGeom>
                    <a:noFill/>
                    <a:ln>
                      <a:noFill/>
                    </a:ln>
                  </pic:spPr>
                </pic:pic>
              </a:graphicData>
            </a:graphic>
          </wp:inline>
        </w:drawing>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وهذا النوع من التقسيم، كما يظهر، عقلي بحت لم يُبْنَ اعتمادًا على الواقع الفقهي واستجابة لطبيعته التشريعية. إذ من المفترض أن تُبحَثَ مسائل الزواج، مثلًا، وهي من المسائل المتعلّقة بالأسرة في الباب ذاته الذي تُبحث فيه مسائل الطلاق، ولكنّ، لأنّ الزواج لا ينعقد إلَّا بطرفين، يُبحَثُ في العقود، بينما الطلاق، لأنه ينعقد بطرفٍ واحد، يُبحَث في باب الإيقاعات.</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ولم ينحصر التأثُّر بالتبويب، وإنما طال العديد من آلية الاستدلال ومعالجة المسائل الفقهية.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ولا غرابة في ذلك، وبخاصّة مع بدايات تأسيس هذه العلوم، إذ لا منهج علميًّا متداولًا سوى المنطق الأوروسطي في حينها، فلا يمكن عزل العلوم عن ظروف نشأتها وتكوُّنها.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وكان تأثُّر هذه العلوم نابع من تأثُّر رجالاتها بالثقافة اليونانية الوافدة، وكذلك بسبب هيمنة بعض العلوم على بعض، كما هي الحال مع علم الكلام الذي كان لحداثة نشأته مقارنةً مع كثير من العلوم الإسلامية، وكذلك نظرًا لحالة الشحن الكلاميّة المتبادلة بين الفرق الإسلامية دور في هيمنته على مجموعة من مسائل علم الأصول، مثلًا.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ولذلك تتأثر النتائج العلمية بالمنهج الذي عُولجت به، وكذلك تتأثّر بالثقافة التي ينتمي إليها المتخصّص، وإن كان العلم يحتكم إلى مجموعة من القواعد والأسس العلمية التي يفترق بها عن بقية الحقول العلمية الأخرى.</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وهذه الأخيرة هي محور الدراسة التي تعالج دور المنابع الثقافية والحركية في الاجتهاد الفقهي لدى الدكتور عبدالهادي الفضلي (رحمه الله)، وذلك انطلاقًا من نقاط رئيسة ثلاث، هي: تأثُّر الفقيه بالخلفية الثقافية التي ينتمي إليها في معالجة المسألة الفقهية، وشواهد على بعض المنابع الثقافية وأثرها في الاجتهاد الفقهي عند العلامة الفضلي، وأخيرًا، دور المنابع الحركية في الاجتهاد الفقهي عند العلامة الفضلي.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أولًا: الحضور الثقافي وأثره في الاجتهاد الفقهي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لكل علمٍ من العلوم قواعده وأسسه التي تُبنى من خلالها مسائله وقضاياه، وكذلك مجموعة المعارف والعلوم التي يرتكز عليها في التأسيس لتلكم المسائل والاستدلال على صحّتها.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ولكنّ هذه الأسس وتلكم المعارف لا تعطي المعالجة والنتيجة ذاتها لدى كل باحث ومختص في الحقل العلمي الذي ينتمون إليه، وإنما لكلّ مختصّ أدواته وآليات معالجته وطرقه التي قد تعطي نتائج مغايرة لمختص آخر عالج المسألة نفسها، تصل في بعض حالاتها إلى درجة التضادّ. وما ذلك إلَّا لمجموعة من العوامل، لعلّ من أبرزها: الخلفية الثقافية التي يرجع إليها كلٌّ من المختصّين.</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وهو أمرٌ ينطبق على جميع العلوم تقريبًا، بما فيها علم الفقه، فقديمًا قسّموا الفقهاء إلى: فقيه ذوقي يلتمس في معالجة المسائل الفقهية الذوق العرفي والفقهي، وآخر صناعي يتوسّل القواعد الفقهية والأسس العلمية بآلية وحَرْفية مبالغة، فيعالج المسألة صناعيًّا.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وهي من النقاط التي يثيرها الدكتور الفضلي في أكثر من مناسبة، فيذكر -أثناء حديثه عن ظهور المعاني من النصوص الشرعية- أهمية الرجوع إلى العرف لتحديد مفهوم النصّ، ذلك أنّ «الذي يتحكّم في هذا الفهم العرفي هو ما يمتلكه الفقيه من ذوق أدبي يوقفه على نكت التعبير ودقائق التركيب اللفظي، كما أنّ الذي يحكّم فيه هو ما يحمله الفقيه من حسٍّ اجتماعي يدرك به عرفيات النص التي يضيفها الاستعمال الاجتماعي على مغزاه ومؤدّاه التي هي فوق القواعد، والتي هي من نتائج الطريقة الاجتماعية العرفية في التعامل مع الصياغات الكلامية ودلالاتها، ومن هنا نُعِتَ هذا الفقيه بالفقيه الذوقي»[1].</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ثمّ يضيف الدكتور الفضلي معلّقًا: «ومن الواضح أنّ الفقيه الذوقي هو الأقرب إلى طبيعة وواقع فهم النصوص الشرعية»[2].</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وهي نقطة يعيد الحديث عنها أثناء تناوله مشكلة التعارض بين الأحاديث، فيذكر أنّ من عوامل استطاعة الفقيه فكَّ التعارض بينها: «مستوى فهم وثقافة الفقيه ومدى سلامة منهجه عند التعامل مع النص، ويعتمد هذا اعتمادًا كبيرًا على التالي: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فهم اللغة العربية: تاريخها وعلومها وآدابها وبخاصّة النحو والدلالة والمعجم.</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2)       دراسة النص في إطار ظروفه التي ولد فيها.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دراسة النصّ مرتبطًا بالواقع التطبيقي له كمادّة تحمل حكمًا شرعيًّا.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4)       وأعني بهذا النظرة إلى الفقه الإسلامي كنظام حياة وُظِّفَ لتنظيم علاقات الإنسان بالله وبالمجتمع والدولة.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5)       الذوق الأدبي والفني لإدراك النكت العلمية والدقائق الفنية في النص.</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6)       التعامل مع النص كمفردة من مفردات الكلام الاجتماعي، لا وحدة خاضعة للتحليل الكلامي أو الفلسفي.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إن اختلاف المستوى بين الفقهاء من حيث الفهم والثقافة عامل آخر ومهم من عوامل حصول التعارض»[3].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وتطبيقًا لهذه الفكرة التي يعرضها الدكتور الفضلي، يذكر بعض الأمثلة لتأثُّر الفقهاء نظرًا للخلفية الثقافية التي ينتمون إليها، ومن الأمثلة على ذلك حديثه عن تأثُّر الشريف المرتضى في وضعه لكتابه (الذريعة إلى أصول الشريعة)، الذي يُعدّ من أوائل الكتب الأصولية الإمامية، بما سبقه من تجارب وبما لديه من ثقافة، يقول الدكتور الفضلي بعد استعراضه للمصادر الأصولية السنّية التي رجع إليها: «وأمرٌ طبيعي أن تكون نسبة المراجع السنية فيه أكثر من المراجع الإمامية؛ لعدم وجود مؤلّفات في أصول الفقه الإمامي غير مختصر أستاذه الشيخ المفيد، فلا غنى له  حينئذٍ عن أن يستفيد في التبويب لمواد أصول الفقه، ومسالك البحث فيها فنيًّا من تجارب سابقيه. وأيضًا لا غرابة أن نجده يتأثَّر بالجوّ الفكري المهيمن آنذاك على المؤلّفات الأصولية، حيث طُبِعَت بطابع احتواء علم الكلام لعلم الأصول، وبخاصّة أنه من أعلام المتكلّمين والمؤلّفين فيه»[4].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وفي مثالٍ ثانٍ، يذكر الشيخ الفضلي في إحدى محاضراته قصّة الاختلاف حول تحليل اقتناء جهاز (الراديو) بدايةَ دخوله الأسواق العراقية، فيقول حول هذه القصّة: «كان من المجالس المميّزة التي حضرتها آنذاك، بخصوص مسألة اقتناء الراديو مجلس المرجع الديني الشيخ محمد رضا آل ياسين (رحمه الله) الذي يعدّ من أبرز مراجع الحوزة الدينية في ذلك الوقت. وكان حضوري برفقة سماحة الوالد، وكان ذلك في مجلس الإفتاء الذي يشرف عليه الشيخ آل ياسين. وفي ذلك المجلس أشار الشيخ إلى أنه قد ورده استفتاء حول جواز اقتناء الراديو، وسأل طلابه أعضاء مجلس الإفتاء عن رأيهم، فتنوّعت آراؤهم بين المؤيِّد والمعارض والبين بين. وكان يناقش صاحب كلّ رأي، ما دفع بأكثرهم إلى التوقّع بأن الشيخ سيفتي بجواز اقتناء الراديو في نهاية المطاف. وبسبب ذلك اندفع أحد المؤيّدين للإفتاء بالحرمة وخاطب الشيخ بشيء من الحدّة وأنه يجب أن يفتي بالحرمة لئلَّا يشيع استعمال أمثال هذه الأجهزة في النجف وبين أيدي المؤمنين المتدينين. وهنا كان للشيخ محمد رضا آل ياسين موقف حازم تجاه مثل هذه المواقف المتشدّدة، إذ خاطب ذلك الطالب بأنه لن يفتي بالحرمة، ويجب أن يُعطى هذا الموضوع ما يتناسب وحكمه الشرعي، شارحًا رأيه بأن الراديو يعدّ من قبيل الوسائل العادية المستعملة بصورة يومية، ففي حال كان استعمالها في الوجه المحلّل، كان اقتناؤها محلّلًا، وإن كان الاستعمال في المواد المحرّمة، فهو محرّم»[5].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ثمّ يعلّق الدكتور الفضلي على هذه الحادثة بقوله: «وتعليقًا على هذه القصة، نجد أن الروحية التي تعامل بها الشيخ محمد رضا آل ياسين قد ترجع في جانب كبير منها إلى الخلفية الفكرية والتربوية التي نشأ عليها الشيخ، فهو من الكاظمية، وأهالي الكاظمية غالبًا ما يتردّدون على بغداد كما يتردّد أهالي بغداد على الكاظمية. ومن يعيش في العاصمة تكون فرصته في الانفتاح على الأجواء العالمية وما يرافق ذلك من تنوّع فكري وثقافي أكبر، ولا يبعد أن يكون لذلك مدخليته في فهم الموضوعات وإعطائها الحكم الذي يتناسب ومتغيّرات العصر»[6].</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ونختم الأمثلة بمثالٍ ثالثٍ وأخير، وذلك أثناء حديثه عن السيد محمد باقر الصدر (رحمه الله) وإفادته من انفتاح المجتمع النجفي على الثقافات المعاصرة وأثر ذلك على تطوير الدرس الأصولي، إذ يقول حول ذلك: «عندما انفتحت الدراسة الحوزوية في النجف الأشرف على نظريات ونتائج العلوم الاجتماعية الحديثة، أفاد منها العلماء المتطلّعون لتطوير مناهج الدراسة في الحوزة العلمية لتكون بمستوى مقتضيات المعاصرة.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وعوامل هذا: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قراءة الدوريات العلمية.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قراءة الكتب والدراسات في العلوم الحديثة.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إنشاء كلية الفقه وإدخال أكثر من علم من العلوم الاجتماعية في برنامجها الدراسي، أمثال: علم الاجتماع، وعلم النفس، والتربية وأصول التدريس، والتاريخ الحديث، والفلسفة الحديثة، وعلم القانون من خلال نظرية الالتزام، وتاريخ الأدب العربي.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وكان من أولئك العلماء الحوزويين المتطلّعين للتطوير، وهم قلة جدًّا، أستاذنا الشهيد الصدر»[7].</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ثمّ يضيف الفضلي: «كانت العوامل المشار إليها فيما تقدّم قد هيّأت لأستاذنا المفكر المربي أن ينطلق في تطوير الدرس الأصولي ليضعه في موضع المعاصرة المطلوبة له»[8]، ويعدّد بعدها مجموعة من النواحي التي جدّد فيها الشهيد الصدر أصوليًّا، وهي: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تجديده في تصنيف المواد الأصولية.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 تجديده في إضافة عنصر التطبيق الأصولي.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تجديده في توسيع دائرة علاقة الأصول بالعلوم الأخرى[9].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ثانيًا: الدكتور الفضلي: منابعه الثقافية وأثرها على اجتهاده الفقهي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لا تُعَدُّ مسألة انفتاح الباحث ضمن حقل معرفيٍّ مّا على معطيات الحقول العلمية الأخرى والإفادة منها خلَلًا منهجيًّا بقدر ما هي إثراء لذلكم الحقل وتجديد فيه في أحيانٍ كثيرة، وهي نقطة يضيء عليها عالم الأحياء الألماني آرنست ماير في كتابه «هذا هو علم البيولوجيا»، إذ يقول بهذا الشأن: «إن الإلمام بما يجري خارج مجال تخصّص الفرد كثيرًا ما يكون هو العامل الحاسم في إحراز تقدّم معرفي. وفي أحوال كثيرة تظهر توجّهات جديدة للبحث عندما يخطو المتخصّص خطوة إلى الخلف تخرجه من دائرة تخصّصه، لكي يرى هذا التخصّص جزءًا من محاولة كبرى لتفسير عالم الأحياء بكل تباينه المدهش»[10].</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ولذلك يُحسب للدكتور الفضلي إفادته العلمية من الحقول التي طرقها أثناء تناوله للمسائل الفقهية، ويمكن الإضاءة على مجموعة من الشواهد، وذلك انطلاقًا من العناوين التالية: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اهتماماته اللغوية وحضورها في البحث الفقهي: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منذ أن التحق الدكتور الفضلي مدرِّسًا في كلية الفقه التابعة لجمعية منتدى النشر بالنجف الأشرف، انشغل بالدرس اللغوي، فكان مدرّسًا للنحو والصرف العربيين، ووضع في ذلك كتابيه: «مختصر التصريف»، و«مختصر النحو». كما أنه يحمل شهادتي الماجستير والدكتوراه في اللغة العربية وآدابها، ويضاف إلى ذلك نشره للعديد من الدراسات والكتب اللغوية.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وقد أفاد كثيرًا من الدرس اللغوي في معالجة المسائل الفقهية، ويعود ذلك إلى بدايات كتاباته الفقهية، ففي بحثه المنشور بمجلّة النجف، العدد 7، عن شهر ذي القعدة 1382ﻫ الموافق لشهر نيسان/ أبريل 1963م، عن المضاربة ودورها في تداول وتوزيع الثروة، يقول –مقارنًا بينها وبين الشركة كعنوانَيْنِ فقهيَّيْنِ متغايرين-: «في لغة العرب، لا يقتصر (باب المفاعلة) على معنى المشاركة المشار إليه، وإنما يعمّ صدور الفعل من طرف واحد أيضًا، كما في أمثال: المسارعة، والمتابعة، والموافقة، والمطاوعة، والمسالمة، وما شاكلها»، ثمّ يعقّب مستفيدًا من هذه المعلومة الصرفية بقوله: «الشركة معاملة بذاتها، لها مقوّماتها وخصائصها التي تفترق بها عن المعاملات الأخرى، وأن المضاربة معاملة أخرى غيرها، تتميّز بمقوماتها وخصائصها أيضًا؛ لأنّ مجرّد الالتقاء بينهما من وجه –وهو الاشتراك في الربح هنا– لا يتأتى مبرّرًا لاعتبار إحداهما نوعًا من الأخرى»[11].</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وفي مثالٍ ثانٍ،  أثناء حديثه عن دلالة الكلمة في دروسه الأصولية، وبحثه عن حروف الجرّ ودلالاتها في النصوص الشرعية، يقول: «في ضوء ما انتهينا إليه من أنّ حروف الجرّ لا تحمل معنى، ولكن لها وظيفة، يرجع لاستفادة المعنى الذي وظّفت (إلى) في الآية الكريمة ﴿يَا أَيُّهَا الَّذِينَ آمَنُواْ إِذَا قُمْتُمْ إِلَى الصَّلاةِ فاغْسِلُواْ وُجُوهَكُمْ وَأَيْدِيَكُمْ إِلَى المَرَافِقِ وَامْسَحُواْ بِرُؤُوسِكُمْ وَأَرْجُلَكُمْ إِلَى الْكَعْبَينِ﴾، لتقوم بإبراز الوضوءات البيانية أيضًا. ولأنّ الوضوءات البيانية دلّت على أن الابتداء في غسل اليد من المرفق لا تحمل (إلى) في الآية على الغاية والانتهاء، وإنما تحمل على معنى (مع) أو على معنى بيان الحدّ»[12].</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ويفيد من درسه اللغوي في دروسه الفقهية، فيقول الفضلي معلّقًا على آلية المعاملة المعاطاتية وما يُشترط فيها من الإيجاب والقبول: «إنّ التحليل اللغوي لمفاد عبارتَي: (قبلتُ) و(رضيتُ) يُثبِتُ أنّ مفادهما إخباري لا إنشائي؛ لأنّهما وسيلة لإظهار ذلك الميل النفسي إلى الشيء المعروض. ذلك أنّ الموجِبَ عندما يقول: (بعتك هذا الكتاب) –مثلًا– إنه ينشئ البيع، وعندما يقول القابِل: (قبلتُ البيعَ) أو (رضيتُ بالبيع)، يخبر عن قبوله لذلك الإنشاء ورضاه به، ولهذا لا يصحّ تقديم القبول إذا كان بلفظ (قبلتُ) أو (رضيتُ)؛ لأنّ الإخبار لا يكون إلّا عن شيء واقع، فلا بدّ من سبق الإيجاب ليكون الإنشاء، ثمّ يأتي الإخبار بقبول ذلك المنشأ»[13].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وفي بيانه لحقيقة الغناء، يذهب الدكتور الفضلي إلى أنّ تحديد ذلك لم يرد في النصوص الشرعية، ذلك أنها «لم تعرِّف مفهوم الغناء بما يكشف عن حقيقته ويحدّد ماهيته، ويرجع هذا –فيما أقدِّر– إلى أنّ ظاهرة الغناء من الظواهر الاجتماعية التي تختلف باختلاف المجتمعات، وتتطور سعةً وضيقًا بتغيُّر ظروفها زمانية ومكانية»[14].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ولذلك ينتقد محاولات الفقهاء في بيان حقيقته انطلاقًا من النصوص الشرعية؛ لأنها لم تعرِّفه، ما يجعل أمر تحديده عائدًا إلى العرف العربي، أي: الرجوع إلى معاجم اللغة.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وهو الانتقاد نفسه الذي وجهه إلى الفقهاء، حينما عرّفوا القضاء انطلاقًا من النصوص الشرعية، فيما كان المفترض بهم اللجوء إلى العرف العربي من خلال مراجعة المعاجم اللغوية. يقول الفضلي حول هذه الفكرة: «ويبدو لي أنّ الذين عرّفوا القضاء بأنه: ولاية حكم أو ولاية على الحكم، قصدوا التفريق بينه وبين القضاء في المذاهب الإسلامية من حيث إنه في الفقه الجعفري لا يصحّ إلّا بالجعل الشرعي من قِبَل المعصوم. وإلّا فالولاية من لوازم القضاء الشرعي؛ لأنها سلطة أو صلاحية يمنحها الشرع للقاضي ليوظفها في محالها المنصوص عليها، وليصحّ بها قضاؤه»[15].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ثمّ يعلّق الفضلي بقوله: «فالأقرب إلى طبيعة القضاء أن يعرَّف بالتعريف اللغوي؛ لأنّه مستمدّ من واقع طبيعة القضاء كمحاكمة وحكم، ولأجل أن يختصّ التعريف بالقضاء الإسلامي، يقيّد بقيد الشرعية»[16].</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وقريبٌ من هذه المعالجة، يناقش الفضلي مسألة ولاية المرأة، وعدم دلالة ﴿قَوَّامُونَ﴾ على عدم أهلية المرأة للولاية، إذ يقول في ذلك: «كلمة ﴿قَوَّامُونَ﴾ ليست حقيقة شرعيّة ولا مصطلحًا فقهيًّا. ومن هنا، لا بُدَّ من تحديد المراد منها من خلال الاستعمالات اللغوية الاجتماعية... ونستفيد من هذا: أنّ القوامية لا تعني القيمومة التي فهم منها المستدلّون التسلُّط والتصرُّف، وإنما تعني إناطة مسؤولية رعاية مصالح النساء وتدبير شؤونهنَّ بالرجال، ومن أظهر مصاديق تلك الرعاية وذلك التدبير: وجوب إنفاق الرجل على زوجته... ونخلص من كل ذلك إلى: أنَّ القوامية غير القيمومة، وأنّ الآية الكريمة لا إطلاق فيها ولا عموم، وعلى هذا، لا يتمُّ الاستدلال بها ولا يصحّ»[17].</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وفي مثالٍ أخير، يشير الفضلي إلى نقطة مهمّة، وهي الآلية التي يقترحها في قراءة النصوص الشرعية ذات العلاقة بالأحكام الفقهية، التي يطغى عليها الأساليب الإنشائية في التعبير، وهي خلاف القضايا المنطقية ذات الصبغة الخبرية، إذ يقول حول هذه الفكرة: «يأتي قصر المنطقي القضية على الجملة الخبرية التامّة، لأنها موضوع المنطق الذي يبحث فيه باعتباره الوحدة الأساسية في الاستدلال، فارقًا واضحًا بينه وبين اللغوي الذي يبحث الجملة مطلقًا: خبريةً وإنشائية. وفي الفقه؛ لأنّ النصوص الشرعية التي يتعامل معها الفقيه أكثرها أساليب إنشائية، يأتي الفارق بينها أكثر وضوحًا»[18].</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2) الإلمام التاريخي الواسع</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منذ بواكير الدراسات التي نشرها الدكتور الفضلي، كتابه القيّم (من البعثة إلى الدولة)، الذي تتلخّص فكرته في ربط مجريات الدعوة المحمّدية منذ بداياتها الأولى في مكّة المكرّمة إلى وصولها لمرحلة الدولة في المدينة المنوّرة، وبيان ترابطها، وتمهيد كل مرحلة سابقة بالمرحلة التي تليها.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وعند مطالعة مقدمة الكتاب، نجد لدى العلامة الفضلي إلمامًا جيدًا بالتاريخ الإسلامي، ما أهّله إلى وضع مجموعة من الملاحظات المهمّة، فكان كتابه نموذجًا للمنهج المقترح في تدوين السنة النبوية، بحيث لا تكون مجرّد سرد للأحداث دون تحليل وتفسير لها، ودون رابط عضوي بينها.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في مقدّمة كتابه يقول الفضلي مدوِّنًا بعض ملحوظاته على كتب السيرة النبوية: «لم تؤرِّخ كتب السيرة -وبخاصّة القديمة منها- لكل حوادث الدعوة الإسلامية في مختلف مجالاتها وأدوارها تأريخًا يجمع شتى صورها ويستوعب جميع تفصيلاتها، ويستعرض كل جوانب الحادثة الواحدة، ويربط بين الحادثة والأخرى في الأسباب والنتائج، يسلسل بين الحوادث في مواقعها من الزمن والأعوام، كشأن ما نلمسه في بعض التاريخ الحديث، وربما كان المؤرخون القدامى يُعذَرون في ذلك بحكم طبيعة تطوّر الدراسات التاريخية، ولا سيّما وهم نتاج بيئات لها خصائصها وألوان نشاطاتها المحدودة.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وظاهرة ثانية نلمسها في تاريخ السيرة هي عنايته بالجانب الجهادي (العسكري أو الحربي) من حياة الدعوة الإسلامية أكثر من عنايته بالجوانب الأخرى، ولعلّ طبيعة حياة العرب حينذاك تبرّر طغيان هذه الظاهرة.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وظاهرة ثالثة نراها في تاريخ السيرة أيضًا، هي أثر شخصية المؤرّخ والعوامل التي صاغتها والمجال الذي دوّن فيه وقائع السيرة، والعوامل التي من وراء قلمه.. أثر كل أولئك وتأثيره في محتوى العرض وفي أسلوبه»[19].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كما أنّ العلامة الفضلي التزم المنهج العلمي في كتابة مقرّراته الدراسية في العلوم الشرعية، فكان من بين أهمّ ما يتناوله في المقدّمة العلمية لأيٍّ من تلكم المقرّرات: سرده لتاريخ العلم ونشأته، بل إنه يتناول مجموعة من مسائل تلكم العلوم بالبحث التاريخي، كما هي الحال مع الأبواب الفقهية التي حرص على بدئها بذكر تاريخ تلكم العبادة أو تلكم المعاملة.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ولا شكّ أن يظهر أثرُ هذا الإلمام التاريخي الواسع في المجالات العديدة التي طرقها وقرأ حولها. ويمكن ذكر بعض الشواهد الدالة على ذلك:</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أثناء حديثه عن ريادة الشيخ المفيد في تأسيس المدرسة الأصولية الإمامية، يقارن بين نشأة المذهب الإمامي الفقهي وبين بقية المذاهب الفقهية الإسلامية، فيُظهر أسبقية المذهب الإمامي، وذلك انطلاقًا من الإلمام التاريخي المتتبّع، فيقول الفضلي -حول مدرسة الصحابة-: «بدأت بمدرسة الرأي، وكان رائدها ورئيسها الخليفة عمر بن الخطّاب، وبعد وفاته وتبريز ابنه عبد الله فقيهًا من فقهاء المسلمين المشار إليهم، تركّزت على يديه مدرسة الحديث، وسارت المدرستان جنبًا إلى جنب، واتخذت مدرسة الرأي الكوفة مركزًا لها عن طريق عبد الله بن مسعود الذي كان يعدّ أبرز تلامذة عمر بن الخطّاب، وأبرز من تبنّى منهج وفكر مدرسة الرأي، وأخذت طابعها الواضح على يد إمام المذهب أبي حنيفة النعمان بن ثابت الكوفي.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أما مدرسة الحديث، فاتخذت من المدينة المنوّرة مركزًا لها، واشتهر من أعلامها الفقهاء السبعة: سعيد بن المسيّب، وعروة بن الزبير، وأبو بكر بن عبد الرحمن المخزومي، وعبيد الله بن عبد الله، وخارجة بن زيد بن ثابت، والقاسم بن محمد بن أبي بكر، وسليمان بن يسار، وانتهت رئاسة هذه المدرسة إلىٰ إمام المذهب مالك بن أنس، وعن طريقه انتشرت في البلدان الإسلامية»[20].</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وانطلاقًا من هذه الفكرة يشير الفضلي إلى نقطة مهمّة في المقارنة بين المدرستين الأساس (أهل البيت والصحابة)، ففي الوقت الذي تمتدّ فيه أولاهما امتدادًا طوليًّا محافظة على الخطّ والمنهج نفسه، «ما يثبت لنا قدمها، وسلامتها من التغيير منهجًا ومادة، نجد المذاهب السنية تسير خلافًا لذلك، فالمذهب الظاهري يرفض الرأي ومتطوراته من قياس واستحسان وما إليهما،... والمذهب الحنفي يتمسك بالرأي إلى أبعد الحدود التي بعدت به كثيرًا عن الحديث (السنة). والمذاهب السنية الأربعة الأخرى جمعت بين الرأي والحديث مع ميل إلى الحديث أكثر من قبل المذهب الحنبلي، وأكثر منه من قبل المذهب السلفي،... ومعنى هذا أن مذهب الصحابة تشعّب إلى هذه المذاهب مع ما بينها من الاختلاف في المنهج. ومن الطبيعي أن الاختلاف في المنهج يبعّد أن تكون الفروع امتدادًا تامًّا للأصل»[21].</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كما أنه أثناء الحديث عن خُمس فاضل المؤونة، يقدّم العلامة الفضلي بحثًا تاريخيًّا عن المؤونة، فيشير الفضلي إلى أن الواقع الاجتماعي اليوم تغيّر فيما يرتبط بتموين المنزل من قبل عامّة الناس، فيقول: «من المفيد أن أشير إلى منشأ التعبير بفاضل المؤونة، أي من أين جاء هذا التعبير؟، إذ يرتبط هذا التعبير بواقع اجتماعي كان الناس يعيشونه في عصر صدور النصوص الشرعية، وهو أن الناس كانوا يمتارون قوت سنتهم من الطعام ومستلزماته، كالحطب وخلافه يدخرونه ميرةً، ومنه أخذ تعريف الميرة بأنها الطعام يدخره الإنسان. وكذلك تعريف المؤونة بأنها ما يخزنه الإنسان من مواد غذائية، كالرز والبر والتمر والزيت والسمن وما إليها. وله -أيضًا- سُمّي مكان ادخار الطعام مخزن الميرة، ومخزن المؤونة،... فالنصوص الشرعية التي قالت: على المسلم أن يخمس ما فضل من مؤونته، تعني أن يخمس الباقي مما ادخره من ميرة السنة. أما الآن وحيث تغيّر الوضع الاجتماعي وتغيّرت معه أساليب المعيشة، ولم يعد ادخار الميرة مألوفًا، ينظر المسلم إلى الموجود عنده من المواد الغذائية ومستلزمات طهيها كالنفط والغاز والفحم يوم نهاية سنة الدخل فيخمسه»[22].</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وفي تعريفه لمصطلح (الاجتهاد) الفقهي، يناقش الفضلي إحدى الفقرات الواردة في بعض تعريفاته، فيقول معلِّقًا: «يبدو أن التعبير عن الاجتهاد بتحصيل الحجّة على الحكم، جاء من واقع الأعمال الفقهية الاستدلالية التي قام بها الفقهاء بدءًا من كتاب (تهذيب الأحكام) للشيخ الطوسي الذي هو شرح استدلالي لكتاب (المقنعة) للشيخ المفيد، وحتّى يومنا هذا، حيث تركّزت في معظمها على شرح المتون الفقهية، فعمل الشيخ الطوسي في (التهذيب) –مثلًا– هو البحث عن دليل فتوى الشيخ المفيد في (المقنعة) الذي هو متن فقهي.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بينما المطلوب –هنا– هو أن ننظر إلى وظيفة المجتهد من واقعها، لا من واقع الأعمال التي يقوم بها الفقهاء. وواقع وظيفة الاجتهاد هي: البحث في النص الشرعي الكتاب والسنة لاستنباط الحكم منه»[23].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الاطلاع على مناهج البحث العلمي الحديثة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مارس الدكتور الفضلي الكتابة المنهجية منذ بواكير مشاركاته العلمية، فكتب: «التربية الدينية»، و«خلاصة المنطق»، و«مبادئ أصول الفقه»، و«مختصر التصريف»، و«مختصر النحو».</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وقد اتّسمت كتاباته الأولى بالمنهجية الحديثة التي أفادها من اطّلاعه الخاص على مناهج البحث الحديثة، ولعلّ لالتحاقه مبكّرًا بكلية الفقه، ومن ثمّ التزامه الدراسة الأكاديمية في جامعة بغداد دورًا في انفتاحه على المنهجية العلمية الحديثة في البحث والتبويب والتقسيم.</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ولقد كان لتجربته الواسعة هذه أثرها على درسه الفقهي، وذلك ما يطالعه القارئ لتراثه في شواهد عدة، منها: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من المقترحات التي يذكرها العلامة الفضلي: تخليص الفقه وأصوله من هيمنة القواعد المنطقية، ويقترح بدلًا من ذلك اتخاذ المنهجية العلمية الحديثة التي تنسجم وطبيعة علم الأصول وعلم الفقه، وممّا يذكره حول هذه الفكرة: «إنّ اللغة التي تستعمل مادةً لتصوُّر المنطق هي اللغة العلمية، ومن الممكن قولبة أساليب اللغة العلمية وفق متطلّبات الصور المنطقية، ولكن من غير الممكن قولبة اللغة الاجتماعية في تحاور أبناء المجتمع وفق قوانين المنطق؛ لأنها سابقة عليها، ولأنها تخضع في وضع أساليبها وتطوُّرها للسنن الاجتماعية لا القوانين العلمية»[24].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وفي أثناء حديثه عن مصطلحي الإطلاق والتقييد الأصوليين، يقول الفضلي حولهما: «إنّ الأصوليين يصرحون وينصّون على أنّ الإطلاق والتقييد ليس لهم فيهما اصطلاح خاصّ، وإنما أخذوهما من العرف الاجتماعي بما لهما من معنًى لغوي عرفي، وكذلك الألفاظ التي يطلق عليها المطلق، التي هي أسماء الأجناس وأخواتها، هي الأخرى يقولون بأنها مفاهيم عرفية، فكان المفروض منهجيًّا أن تعرف وتفسَّر هذه المفاهيم من خلال الفهم العرفي لها، ولكنّ التزام الأصوليين بالمنهج الفلسفي فرض عليهم أن يعرفوها تعريفًا فلسفيًّا بما أوقعهم في المفارقة المذكورة»[25].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ومن المفردات التي نادى العلامة الفضلي بدراستها وفق طبيعتها المنهجية: شرط الحياة في مرجع التقليد، وذلك بقوله: «عند قيام السيرة العقلائية، لا أرى بحاجة إلى أن نعتمد معطيات الفلسفة، كما جاء في بعض كتب الفقه الاستدلالية؛ لأنّ التشريع اعتبار، أمره بيد معتبره، فمتى استفدنا من السيرة المتّصلة بزمان الحضور جواز التخيير أغنتنا عن الرجوع إلى غير ذلك»[26].</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وعندما يعدّد الفضلي شروط العقد في المعاملات، يشير إلى ما يذهب إليه بعض الفقهاء من ضرورة إيقاعه بالعربية، اعتمادًا على قاعدة القدر المتيقّن من الروايات، وهي معالجة عقلية صرفة، فيما يذهب العلامة الفضلي إلى عدم اشتراطه، اعتمادًا على سيرة العقلاء القائمة على إجراء كل مجتمع عقوده بلغته التي يتعامل بها[27].</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من الملحوظات المهمّة التي ذكرها العلامة الفضلي مبكّرًا على المدوّنات الفقهية: ما ذكره بخصوص التبويب الفقهي، فاقترح منهجًا جديدًا للبحث الفقهي، وذلك في دراسة منشورة في مجلّة «الإيمان» النجفية في عددها المزدوج الخامس والسادس لسنة 1383ﻫ/ 1963م، إذ يقول هناك: «إن الذي أقترحه حول المنهج يدور حول جوانب، 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حول طريقة التبويب: إن الطريقة القديمة المتبعة في تبويب الفقه تقوم في عامّة مؤلفاته ومدوناته المتقدّمة على أساسٍ من تقسيمها -على ضوء تقسيمه- إلى أربعة أقسام، 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العبادات.</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2. العقود.</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الإيقاعات.</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4. الأحكام.</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والشيء الملاحظ -هنا- وجود الاستطراد بكثرة ربما تذهب إلى حدّ بجامعية الباب ومانعيته، أما متى حاولنا مماشاة متطلّبات الأوضاع الاجتماعية للمسلمين بغية تيسير فهم الفقه لديهم، فالمقترح مراعاة المناهج الحديثة في التبويب، أمثال: أن يبوّب الفقه إلى:</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أحكام الفرد، ويراعى فيه أصنافه، وهي: الطفل، والرجل، والمرأة.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2. أحكام الأسرة.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أحكام المجتمع.</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4. أحكام الدولة»[28].</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وبعد هذا المقال بأكثر من 30 عامًا، رجع المؤلّف إلى مناقشة الفكرة من جديد بصورة موسّعة أكثر نضجًا واستيعابًا في كتابه الفقهي «دروس في فقه الإمامية»، حيث أشار هناك إلى أهمية إعادة النظر في تبويب علم الفقه، إذ يقول: «استمدادًا من الواقع التطبيقي الذي يعيشه الإنسان المسلم، ومما يقرّره المنهج العلمي الحديث من وجوب مراعاة الحاجة إلى الفقه في عالم الحياة المعاشة للمسلم، وبغية أن تترابط موضوعاته ترابطًا عضويًّا وفق ما لها من أهداف، رأيتُ أن أقسّمه إلى الأبواب التالية: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أحكام العبادات.</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2. الأحكام الفردية.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أحكام الأسرة.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4. الأحكام الاجتماعية.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5. أحكام الدولة.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6. أحكام الحقوق المالية العامّة.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7. أحكام المعاملات الاقتصادية.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ويشمل قسم أحكام العبادات أمثال: الطهارة، الصلاة، الصوم، الاعتكاف، الحج، العمرة، الزيارة... إلخ.</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ويندرج في باب الأحكام الفردية أمثال: أحكام التكلّم، أحكام الاستماع، أحكام القراءة، أحكام اللباس، أحكام الزينة، الرياضة البدنية، أحكام البصر، أحكام الأكل، أحكام الشرب، أحكام السكن، أحكام الالتزامات (النذر والعهد واليمين)... إلخ.</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ويدخل في قسم الأسرة أمثال: الزواج، الطلاق، الخلع والمباراة، الظهار، الإيلاء، اللعان، الرضاع، الحضانة، التربية، النفقة، الولاية، الميراث... إلخ.</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وفي الأحكام الاجتماعية أمثال: الرقابة الاجتماعية (الأمر بالمعروف والنهي عن المنكر)، التكافل الاجتماعي، تولي الأمور الحسبية من قبل عدول المؤمنين، المنشآت الاجتماعية الخيرية... إلخ.</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وفي أحكام الدولة أمثال: رئاسة الدولة، الجهاز الحكومي، أجهزة الإدارة المحلية، الوظائف الاجتماعية للدولة، الوظائف الدولية للدولة، الدفاع، الجهاد... إلخ.</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وفي الحقوق المالية العامّة أمثال: الزكاة، الخمس، الكفارات المالية، الصدقات العامّة، الأوقاف العامّة، ردّ المظالم، النذور المالية، التبرّعات الخيرية، الأنفال، الخراج... إلخ.</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وفي المعاملات الاقتصادية أمثال: التجارة، الزراعة، الصناعة، الملكية، الصرافة والمصارف (البنوك)، الشركات، المضاربة، القرض، الحوالة، الكفالة، الإجارة... إلخ»[29].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وعندما يتناول الفضلي موضوع البنوك، يستعرض مجموعة من الخطوات التي يراها منسجمة مع المنهجية العلمية الحديثة التي يتبنّاها، مبتعدًا عن المنهج الفلسفي، فيقول حول ذلك: «في مجال تحديد موضوع البنك وتشخيصه، على الباحث اتباع الخطوات التالية: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الرجوع إلى أنظمة البنوك التجارية المدونة، تلك البنوك التي يتعامل معها المسلمون، سواء كانت قائمة في البلاد الإسلامية أو في خارجها.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2.               الرجوع إلى نماذج من أوراق المعاملات المعقودة بين البنوك والعملاء.</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الرجوع إلى القرارات البنكية الصادرة عن إدارات البنوك ومجالسها بشأن المعاملات المصرفية.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4.               الرجوع إلى الكتب والرسائل المؤلفة في الموضوع، وكذلك البحوث والمحاضرات التي تُعنى بهذا الشأن.</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وموجب هذا يعود إلى أن مفاهيم المسائل والقضايا المصرفية بعدُ لما تدخل دائرة الفهم العرفي وتستقر في أذهان الناس حتى يصبح فهمها ميسورًا لكل أحد، ليصح الاعتماد على الفهم العرفي والإرجاع إليه. ويعود هذا إلى أنها بعدُ لما تنتشر وتشيع في أوساطنا الاجتماعية الانتشار والشيوع اللذين يحققان لها فهمًا عرفيًّا يعتمد عليه عند الرجوع إليه. وأؤكد على هذا؛ لأن اتباع المنهج الفلسفي -كما هو معروف مما صدر من الكثير منهم- عند عدم القدرة على تشخيص الموضوع أو عدم وضوحه، أو لأجل الاحتياط بغية أن يتيقن الباحث من دخول الموضوع واحدًا من المحتملات، يأخذون بالمنهج المذكور، فيعفون أنفسهم من عناء محاولة التحديد، مكتفين بطرح كل المحتملات، ومحاولة معرفة حكم كل واحد من هذه المحتملات التي تردد الموضوع بينها حسب اعتقاد الباحث»[30].</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ولهيمنة المنهج الكلامي في معالجة بعض المسائل الأصولية، يعدّد العلامة الفضلي أبرز الفروق بين المنهجين، ليتَّضح لدارس الأصول الفارق بينهما، يقول حول ذلك: «لتجلية الفرق بين المنهج الكلامي والمنهج اللغوي الاجتماعي الذي ينبغي اتباعه في علم الأصول نقول:</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إنّ المنهج الكلامي –لأجل أن يصل إلى أنّ الكلمة أو الجملة أو الأسلوب موضوع لهذا المعنى– يعتمد علائم الحقيقة التي منها التبادر، فمتى تبادر المعنى عند سماع اللفظ إلى الذهن فإنه المعنى الحقيقي، أي إنّ اللفظ موضوع له.</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بينما يعتمد المنهج اللغوي الاجتماعي استقراء النصوص الشرعية في تطبيقاتها على مواردها، وملاحظة الاستعمال الاجتماعي الراهن.</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ونحن –هنا– حيث نبحث عن دلالة الألفاظ التي عنونت بألفاظ العموم عندما نرجع إلى أهل اللغة –وهم العرب– ونلاحظ طريقتهم في الفهم والإفهام، أي أسلوبهم في الاستعمال من حيث اللفظ والدلالة، وفي مجال التطبيق خاصّة نراهم يفرقون بين نوعين من هذه الألفاظ، أو قل: إنهم يصنفونها إلى مجموعتين، هما: مجموعة تفيد الاستغراق بنفسها، ومجموعة لا تفيد الاستغراق إلّا بمساعدة قرينة السياق»[31].</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4) الانفتاح على الثقافة المعاصرة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يشير الشاعر السيد مصطفى جمال الدين، وهو من رفقاء درب العلامة الفضلي، إلى حالة الانفتاح الثقافي الذي عاشته النجف الأشرف أيام دراسته العلمية، فيشير إلى تنوّع الكتب والمجلّات التي كان يقرؤها جيله من طلبة الحوزة العلمية، وذلك في قوله: «إن النجف التي عشناها مدينة قارئة، تتصل -رغم انغلاقها- بالعالم الخارجي عن طريق الكتب والصحف والمجلاّت التي تردها بانتظام، ومن مختلف البلدان، كَـ(العرفان) و(البرق) من لبنان، و(ألف باء) و(مجلة المجمع العلمي) من دمشق، و(المقتطف)، و(المقطّم)، و(الهلال)، ثم (الرسالة)، و(الثقافة)، و(الكاتب المصري) من مصر.</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كما صدرت في النجف نفسها صحف ومجلاّت ليست على الشكل المتحفّظ الذي يعيشه مجتمعها، كمجلة (النجف) التي صدرت في العشرينيات»[32].</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وعندما يبدأ الإنسان مسيرته العلمية متسلّحًا بالتنوُّع الثقافي والعلمي، يُلازمه ذلك طوال هذه المسيرة المباركة، فتظلّله هذه المعارف وتنير له كثير من مسالكه وتفتح له العديد من المغالق. وهذا ما يظهر من كتابات ومؤلّفات العلامة الفضلي، حيث الاطلاع الواسع والغزير، والمنفتح على العديد من الثقافات والمعتقدات والأيديولوجيات. وهو ما ينعكس تاليًا على المادة التي يبحث فيها وحولها، إذ يحاول استيعاب ما كتب حولها وما تناولها من دراسات وأبحاث. وهي الملازمة التي يظهر أثرها على إنتاجه العلمي، بما في ذلك آراؤه الاجتهادية. إذ يمكن تبيّنه من الشواهد التالية: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عند تناوله لموضوع سنّ اليأس عند المرأة، يعالج الفضلي اختلاف سنّ يأس المرأة القرشية (60 عامًا) عن غير القرشية (50 عامًا)، وينطلق في بيان الاختلاف الوارد في الروايات من الواقع الميداني، ويقول في ذلك: «في ضوء أن ظاهرة الحيض من الظواهر الصحية البدنية للمرأة، وينشأ من واقع تكوينها الجسماني الطبيعي لا طريق إلى معرفة شؤونها تفصيلًا إلَّا عن طريق الدراسات الميدانية، أمثال القيام بعمل استبيانات والاستفادة من نتائج إحصاءاتها.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وبقرينة ما أفادته التقارير العلمية من خلال الدراسات الميدانية التي قام بها باحثون علميون من أن مدة سن الإخصاب -التي هي سن الحيض- تختلف باختلاف العوامل، أمثال: المناخ والوراثة والسلالة، نستطيع أن نقول: إن القرشية في الرواية ذكرت من باب المثال لبيان تأثير عامل السلالة، لا لخصوصية في القرشية ذاتها.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ويؤيده مساواة النبطية لها في الستين كما ورد في المروي الذي أشار إليه الشيخ المفيد، والنبط -كما هو معلوم تاريخيًّا- سلالة من السلالات البشرية.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وفي هديه، يكون التحديد بالستين بيانًا لأعلى حد تصل إليه سن الإخصاب، وتكون الخمسون بيانًا للغالب.</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وبهذا يتم الجمع بين الروايات... في بيان أكثر مدة الحيض بالثمان والعشر حيث حمل الفقهاء الثمانية على الغالب والعشرة على أنها الحد الأعلى»[33].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وقريبًا من هذه المعالجة، يتناول الفضلي مسألة اجتماع الحيض مع الحمل، إذ يرجع إلى ما تثبته التقارير الطبية، فيقول جامعًا بين مؤدى الروايات وما تثبته التقارير الطبية: «إن القول بالاجتماع مفاده جواز أن تحيّض المرأة الحبلى من غير نظر فيه إلى بيان وقت الحيض عند الحامل. وإن القول بعدم الاجتماع ناظر إلى بيان الغالب من حال المرأة الحبلى من أنها لا تحيض، فليس فيه شمول يستوعبه بنفيه. وإن القول بانقطاع الحيض عند استبانة الحمل لا ينافيه أيضًا؛ لأن بيان وقت مجيء الحيض لم يحدّد فيه المجيء بما قبل الاستبانة أو عندها أو بعدها. وعلى هذه المؤديات تحمل الروايات، ولا تعارض بينها كما ذهب إليه بعضهم. ولا حمل على التقية؛ لأن الإفتاء برؤية المرأة الدم أثناء الحمل لا يثير سخط الحاكم المتسلط. فليس كل ما يوافق المذهب السني الرسمي يحمل على التقية؛ لأن التقية معناها الخوف من وقوع المفتي تحت طائلة ظلم الحاكم وجوره. والنتيجة: جواز اجتماع الحيض والحمل»[34].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أثناء تِعداد شروط المعاطاة في المعاملات، يذهب الفضلي إلى عدم اشتراط التلفّظ في المعاملة، ويذهب إلى قبول أيّ مؤشّر يُستدل به على التراضي بين طرفي المعاملة، وذلك لأنها «ظاهرة اجتماعية عامة وقديمة قدم المجتمعات البشرية توارثتها مجتمعًا بعد آخر، ولو حاولنا معرفة واقعها من خلال الدراسة الميدانية، لرأينا أن الناس مسلمين وغير مسلمين، يتعاملون مع المعاطاة بترتيب جميع الآثار الشرعية أو القانونية أو العرفية التي ترتب على المعاملة المالية المشروعة»[35].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ثمّ يعلّق الفضلي على النتيجة التي ذهب منتقدًا الآلية التي يتّبعها الفقهاء في معالجة هذه المسائل، وذلك بقوله: «إن الطريق المنهجي السليم لمعرفة إرادات وقصود المتعاملينَ هو الاستفسار منهم مباشرة، إما شفهيًّا أو تحريريًّا، بواسطة ما يعرف حديثًا ﺑالاستبانة أو الاستبيان الذي من خلال ما يدوّن فيه من أجوبة يتبين الباحث معرفة ما أراد معرفته. وهذا لم يحدث من الفقهاء الذاهبين المذهب المذكور، فلم يُذكر أنهم قاموا بحملة استفسارات من الناس عمّا يقصدونه أثناء تعاملهم بالمعاطاة، هل هو الإذن بالتصرّف أو التملك والتمليك. ولازم هذا أن الفقهاء درسوا هذه المسألة في إطارها النظري بعيدًا عن إطارها التطبيقي.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ومن ناحية نظرية، حيث أنهاهم الدليل الذي اعتمدوه إلى أن العقد هو نتيجة التعاقد اللفظي، لا تكون المعاطاة -على هذا- عقدًا. ولأنها جارية بين الناس ولم يحصل ردع من الشارع المقدّس عنها، فلا توجيه شرعيًّا لهذا اللون من التعامل إلاّ بأن يقال: إنها إذن في التصرف،... فالمسألة نظريًّا هي هكذا، ولكنها تطبيقيًّا غيره تمامًا، وذلك أن الناس من غير شك في ذلك -لأنه مشاهد ومعروف بالوجدان- يقصدون من المعاطاة ترتيب جميع آثار العقد اللفظي»[36].</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وهناك نقطة يعيد الفضلي الحديث عنها أثناء تناوله لشرعية بعض وسائط البيع الحديثة، كالهاتف والإنترنت وآلة البيع الذاتي، إذ يرى «أن الإبانة عمّا في النفس من الرضا بالبيع هو لازِمَةُ الإيقاع، أي: إن الإيقاع يدل عليها ضمنًا. فالمقصود من استعمال الوسيلة كالكتابة وأمثالها ليس إبراز وإظهار الرضا، وإنما المقصود بها إيقاع المعاملة، ومن وجودها يفهم الرضا. وهذا ما يدركه كل متعامل؛ لأنه من الظواهر الاجتماعية العامة التي تعرف عن طريق الممارسة والمشاهدة. وهذا يسلمنا إلى التوسع بصيغة العقد إلى ما يشمل القول والفعل وما يقوم مقامهما من إشارة أو كتابة»[37].</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xml:space="preserve">وهذه النتيجة النهائية التي يذهب إليها العلامة الفضلي كان لازمها قبول جميع معاملات البيع الحديثة، فما دام «لم يرد في النصوص الشرعية ما يدل على حصر إيقاع العقد والإبانة عن الرضا في التلفظ والنطق، ولم يرد عنه المنع من الكتابة يكون جواز التعامل بالمراسلة كما هو المعروف الآن في عصرنا هذا مشروعًا. ويدخل تحت عنوان الكتابة: ما يعرف بالبرق (تلغراف </w:t>
      </w:r>
      <w:r w:rsidRPr="00F40223">
        <w:rPr>
          <w:rFonts w:ascii="Times New Roman" w:eastAsia="Times New Roman" w:hAnsi="Times New Roman" w:cs="Times New Roman"/>
          <w:sz w:val="24"/>
          <w:szCs w:val="24"/>
        </w:rPr>
        <w:t>Telegraph</w:t>
      </w:r>
      <w:r w:rsidRPr="00F40223">
        <w:rPr>
          <w:rFonts w:ascii="Times New Roman" w:eastAsia="Times New Roman" w:hAnsi="Times New Roman" w:cs="Times New Roman"/>
          <w:sz w:val="24"/>
          <w:szCs w:val="24"/>
          <w:rtl/>
        </w:rPr>
        <w:t xml:space="preserve">)، وهو جهاز لنقل الرسائل من مكان إلى آخر بعيد بوساطة إشارات خاصة. والتلكس </w:t>
      </w:r>
      <w:r w:rsidRPr="00F40223">
        <w:rPr>
          <w:rFonts w:ascii="Times New Roman" w:eastAsia="Times New Roman" w:hAnsi="Times New Roman" w:cs="Times New Roman"/>
          <w:sz w:val="24"/>
          <w:szCs w:val="24"/>
        </w:rPr>
        <w:t>Telex</w:t>
      </w:r>
      <w:r w:rsidRPr="00F40223">
        <w:rPr>
          <w:rFonts w:ascii="Times New Roman" w:eastAsia="Times New Roman" w:hAnsi="Times New Roman" w:cs="Times New Roman"/>
          <w:sz w:val="24"/>
          <w:szCs w:val="24"/>
          <w:rtl/>
        </w:rPr>
        <w:t xml:space="preserve"> وهو الرسالة بواسطة طباّعة بُعدية. ومثله الفاكس </w:t>
      </w:r>
      <w:r w:rsidRPr="00F40223">
        <w:rPr>
          <w:rFonts w:ascii="Times New Roman" w:eastAsia="Times New Roman" w:hAnsi="Times New Roman" w:cs="Times New Roman"/>
          <w:sz w:val="24"/>
          <w:szCs w:val="24"/>
        </w:rPr>
        <w:t>Fax</w:t>
      </w:r>
      <w:r w:rsidRPr="00F40223">
        <w:rPr>
          <w:rFonts w:ascii="Times New Roman" w:eastAsia="Times New Roman" w:hAnsi="Times New Roman" w:cs="Times New Roman"/>
          <w:sz w:val="24"/>
          <w:szCs w:val="24"/>
          <w:rtl/>
        </w:rPr>
        <w:t xml:space="preserve">، والبريد الإلكتروني </w:t>
      </w:r>
      <w:r w:rsidRPr="00F40223">
        <w:rPr>
          <w:rFonts w:ascii="Times New Roman" w:eastAsia="Times New Roman" w:hAnsi="Times New Roman" w:cs="Times New Roman"/>
          <w:sz w:val="24"/>
          <w:szCs w:val="24"/>
        </w:rPr>
        <w:t>E-mail»[38</w:t>
      </w:r>
      <w:r w:rsidRPr="00F40223">
        <w:rPr>
          <w:rFonts w:ascii="Times New Roman" w:eastAsia="Times New Roman" w:hAnsi="Times New Roman" w:cs="Times New Roman"/>
          <w:sz w:val="24"/>
          <w:szCs w:val="24"/>
          <w:rtl/>
        </w:rPr>
        <w:t>].</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xml:space="preserve">ومن الأمثلة أيضًا: ما يذكره الفضلي بخصوص التفريق بين القرضين: الاستهلاكي والإنتاجي، إذ يرى حرمة الأول وحلية الثاني، وذلك نظرًا لدوره الإنتاجي في تحريك المال وتداوله بين الناس، وهو ما يبيّنه شارحًا هذا الرأي: «وبعكسه -القرض الاستهلاكي- القرض الإنتاجي، فإن الأموال التي تؤخذ عن طريقه تستعمل للإنتاج والاستثمار بما يأتي عاملًا فاعلًا في حركة تداول المال بين الناس عن طرق التجارة والصناعة والزراعة وما إليها. ومن البديهيات العقلية: إن المعلول يدور </w:t>
      </w:r>
      <w:r w:rsidRPr="00F40223">
        <w:rPr>
          <w:rFonts w:ascii="Times New Roman" w:eastAsia="Times New Roman" w:hAnsi="Times New Roman" w:cs="Times New Roman"/>
          <w:sz w:val="24"/>
          <w:szCs w:val="24"/>
          <w:rtl/>
        </w:rPr>
        <w:lastRenderedPageBreak/>
        <w:t>مدار علته وجودًا وعدمًا، أي إن وجدت علّته انوجد، وإن عدمت انعدم. وعلّة تحريم الربا -كما أفادت الروايات المذكورة- هي منعه من تداول المال عن طرق المعاملات المشروعة، والقرض الإنتاجي -كما هو معلوم- عامل مهم وقوي من عوامل تداول المال. وعليه: فبدل أن يكون الربا سببًا لمنع تداول المال صار سببًا لتداوله.</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ومعنى هذا: إن علة التحريم انحسرت، أو قل انعدمت، وعلى أساس من البديهية المشار إليها: إن انعدام العلة -هنا- يستلزم انعدام المعلول، وهو التحريم. والنتيجة: هي حرمة القروض الاستهلاكية، وإباحة القروض الإنتاجية»[39].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ثالثًا: الفضلي منابعه الحركية وأثرها على اجتهاده الفقهي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يبدأ الإنسان في تعرّف محيطه الخارجي بصورة تدريجية، فيتحسّس ما حوله من ظواهر طبيعية وكونية متسائلًا حول العديد من هذه الظواهر، إلى أن يبدأ تدريجيًّا أيضًا في إدراك العديد من الظواهر الاجتماعية، ومن ثمّ الفكرية والأيديولوجية، وذلك بناءً على يتعقّله من أطروحات حولها، وما ينفتح عليه من تساؤلات وما يقدّم له من إجابات.</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ومع هذا الكمّ الهائل من المعلومات وتصارع الأيديولوجيات، لا يستطيع الإنسان إلّا أن يتّخذ أمامها موقفًا محدّدًا يؤمن به ويناضل من أجله، وبخاصّة عندما يتبنّى مشروعًا يسعى للوصول إلى تحقيقه، كما هي الحال مع علامتنا الدكتور عبد الهادي الفضلي، الذي كان أحد مؤسسي حزب الدعوة الإسلامية في خمسينيات وستينيات القرن الماضي، وسبق ذلك انتماؤه إلى مجموعة من الجمعيات والمؤسسات الثقافية والعلمية التي كانت تحمل مشروعًا إصلاحيًّا نهضويًّا.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وهي نقطة يشير إليها في إحدى محاضراته التي عنونَها بـ(تعدُّد السبُل)، إذ يشير هناك إلى أن الإنسان لا يستطيع أن يقف محايدًا دون أن تحديد موقعيته وموقفه ممّا يحيط به من أحداث ومما يُعرَض أمامه من أفكار ومبادئ وأيديولوجيات، فلا بدّ من أن يحدّد السبيل الذي يريد أن يسلكه، فيقول مبيّنًا محورية هذه الفكرة: «إنّ تعدُّد السُّبُل من أهمّ موضوعات الساعة اليوم التي هزّت العالم هزًّا عنيفًا ولا تزال. فكلّ ما نجده الآن من اضطراب ومن عدم استقرار في هذا العالم، ومن ضحايا تذهب في سبيل الحق أو في غير سبيله، ومن دماء تُراق في سبيل إعلاء كلمة الله أو في هذا السبيل، كلها نابعة من هذا الموضوع، ذلك أنه موضوع له أهميته الكبيرة الآن، وفي هذا الظرف العالمي المعيش»[40].</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ولذلك، لا يمكن إغفال مواقفه المبدئية وأثرها على حركية الاجتهاد لديه، فإن لها حضورها، كما أنّ لتعدّد المنابع الثقافية دورًا وأثرًا في اجتهاده الفقهي. وكما تناولنا في نقطتها الثانية تلكم المنابع، من المهم بيان هذه المبادئ، وذلك ضمن العناوين التالية: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إيمانه بالإسلام نظامًا شاملًا للحياة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يشير العلامة الفضلي في أكثر من مناسبة، ومنذ كتاباته التأسيسية الأولى، أن الإسلام: نظام إلهي شامل للحياة، وقد عبّر عن ذلك في مناسبات عدّة، فيقول في إحداها: «إنّ الرؤية التي يقدّمها الإسلام –نظريًّا وتطبيقيًّا– في التعامل مع الحضارات الإنسانية تضع الإسلام نظامًا وفكرًا له القدرة على قيادة الحياة على هذه الأرض، بمرونة وصلاحية عالية، تعطي للإنسان الأمل في أن يعيش بسعادة وكرامة وهبتها له السماء، ودون مِنَّة من نظام أو قوّة مسيطرة، كما هي الحال مع بقية الأنظمة والحضارات الأخرى»[41].</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وانطلاقًا من هذا المبدأ، يدعو الدكتور الفضلي إلى «أن تكون الشريعة الإسلامية اليوم هي مصدر التشريع الأول، ولأنّ يكون بالشكل الذي يمهّد لكونه النظام العامّ لحياة المسلمين ولرفاهية العيش لديهم. وهذا لا يتأتّى إلّا بعدما يؤمن المسلمون أن الدين الإسلامي يمثّل نظامًا شاملًا للحياة، وعلينا أن نعمل سويًّا لئلّا يكون ديننا الإسلامي منحصرًا في أداء الصلاة والصلاة والصوم والزكاة والخمس فحسب، بل يجب أن يكون نظامًا شاملًا لجميع جوانب الحياة الإنسانية»[42].</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xml:space="preserve">وانطلاقًا من إيمانه بهذه الشمولية، يستنكر الفضلي اقتصار المادة الفقهية التي يتناولها الفقهاء على المسائل الفردية العبادية، فيقول –بعد استعراض المادة الفقهية في أهم المتون الفقهية لدى المسلمين-: «إنّ التدوين الفقهي –منذ البداية– كان مقتصرًا على الفقه الفردي، وأعني به الفقه الذي يرتبط بأفعال المكّلف باعتباره فردًا، لا مجتمعًا ودولة، ذلك أنّ الأحكام المذكورة تهتمّ بتنظيم علاقة الفرد بالله تعالى، كما في الصلاة والصوم والحج، وعلاقة الفرد بنظيره الإنسان الآخر كما في المعاملات، أمثال: البيع والإجارة، وكما في الأحوال الشخصية... إنّ هذا يدفعنا إلى إثارة التساؤل حول هذا التضييق في مساحة المبحوث فيه من المواد الفقهية، ذلك لأنّ الفقه الإسلامي هو نظام حياة المسلمين، والمفروض فيه أن يتناولها من جميع جوانبها وأطرافها، فلا يترك جزئية من جزئيّاته إلّا ووضع لمساته عليها، سواء كانت عبادية تنظّم علاقة الإنسان بالله تعالى، أو معاملية تنظّم علاقة الإنسان بنظيره الإنسان، أو اجتماعية تنظّم علاقة الإنسان بمجتمعه، أو اقتصادية تنظّم علاقة </w:t>
      </w:r>
      <w:r w:rsidRPr="00F40223">
        <w:rPr>
          <w:rFonts w:ascii="Times New Roman" w:eastAsia="Times New Roman" w:hAnsi="Times New Roman" w:cs="Times New Roman"/>
          <w:sz w:val="24"/>
          <w:szCs w:val="24"/>
          <w:rtl/>
        </w:rPr>
        <w:lastRenderedPageBreak/>
        <w:t>الفرد والمجتمع والدولة بالثروة والمال، أو سياسية محلية تنظّم علاقة المواطن بدولته، أو دولية تنظّم علاقة الدولة الإسلامية بالأخريات من الدول»[43].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وبعد استعراضه للأسباب التاريخية التي حصرت المادة الفقهية في واقعها الحالي، يشير الفضلي إلى أهمية توسيع هذه المادة لتشمل كافة جوانب الحياة، وذلك لمجموعة من العوامل، يعدّدها في خمسة عوامل، 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انفتاح المسلمين على الثقافة القانونية الغربية.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2) اعتماد الكثير من الدول الإسلامية للقوانين الوضعية المتأثرة بالقوانين الغربية.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انبثاق الحركات الإسلامية الداعية إلى إقامة الحكم الإسلامي في بلاد المسلمين بديلًا عن حكمهم بالقوانين الوضعية الدخيلة.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4) قيام الجمهورية الإسلامية في إيران وصدور دستورها الإسلامي.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5) انفجار الثورة الثقافية في إيران التي كان من نتائجها الكم الهائل من إحياء التراث الإسلامي[44].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ولذلك يستنكر الفضلي على مجموعة من الفقهاء بعض ما يصلون إليه من عدم وجود نصوص شرعية تفيد مشروعية الدولة فقهيًّا، إذ يستدلّ على وجود ذلك من خلال الأدوار التي مارسها نبينا الكريم محمد (صلى الله عليه وآله وسلم)، إذ يعدد هذه الأدوار في النقاط التالية: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إنشاء ديوان إدارة أموال الصدقات، والرسائل الصادرة عن النبي (صلى الله عليه وآله وسلم)، وكتّاب النفوس، والعهود.</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2) تهيئة الدور لتعليم القرآن الكريم والأحكام الشرعية.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إبرام المعاهدات وإقامة العلاقات بين الدولة الإسلامية والدول الأخرى، والجماعات والقبائل المجاورة.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4) بعث الرسل والوفود إلى الدول الأخرى وقبائل العرب.</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5) تجهيز الجيوش للدعوة إلى الإسلام وللدفاع عن الوطن.</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6) تعيين الأمراء والعمّال في البلدان التابعة للدولة الإسلامية.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7) تعيين القضاة.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8) القيام بشؤون الحِسبة[45].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ثم يعلّق معقّبًا على هذه الأدوار بقوله: «وإذا قارنَّا هذا الكيان السياسي بالدول غير الإسلامية التي كانت قائمة آنذاك، كدولة فارس ودولة الروم، لا نرى فارقًا من حيث التنظيمات إلّا في حدود الاختلاف في الواقع المدني بين العرب، حيث كانوا أممًا عشائرية وأمّية، والفرس والروم فقد كانوا أممًا متمدّنة من حيث العمران. وهذا يدعونا –وبكل ثقة وأمانة– أن نطلق على الكيان السياسي الإسلامي عنوان: (دولة)؛ لأنه متوفّر على عناصرها ومتوافر على شروطها»[46].</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وانطلاقًا من هذه الرؤية، يضع العلّامة الفضلي تصوّرًا مغايرًا لمرجع التقليد، إذ يضع من بين شروطه: «الكفاءة الإدارية»، ذلك أن «إدراك توفّر هذا الشرط في المرجع الديني، والانطلاقة إلى التماس توفّره بوعي، وتحقيق وجوده في الواقع العملي بحرص وجدّية مطلب ضروري، والأدلّة التي يستدلّ بها على لزوم توفر هذا الشرط هي أدلّة ولاية الفقيه عقليةً ونقليةً»[47].</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ولبيان مراده من الكفاءة الإدارية، يضع الفضلي مجموعة من المهام التي يراها ضمن وظيفة المرجع الديني الشرعية، وهي: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1) تعيين الوكلاء في الأطراف والبلدان.</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2) جباية الحقوق المالية الشرعية.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توزيع الحقوق المالية وتوظيفها فيما يخدم الإسلام ويحقّق المصلحة للمسلمين.</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4) الإشراف على الحوزات العلمية إداريًّا وعلميًّا.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5) الإفتاء أو الحكم في تحديد الموقف من القضايا العامّة التي على الدين أن يقول كلمته فيها.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ثمّ يعلّل ذكر هذه المهام، بقوله: «ويرجع هذا إلى أنّ مرجع التقليد عندنا –نحن معاشر الإمامية– يقوم بوظيفة النيابة العامّة عن الإمام (عليه السلام) الذي هو رأس المسلمين والمسؤول الأول عن إدارة شؤونهم وتسيير قضاياهم الشرعية»[48].</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وانطلاقًا من هذه الرؤية، يفرّق الفضلي بين نوعين من الفقهاء، وهما: «المجتهد المفتي، وهو من تتوفّر فيه الشروط التي ذكرها الشيخ الجناتي وما ذكرناها في رسالتنا في التقليد، والمجتهد المدرّس الذي له القدرة على البحث الخارج، ولكن في حدود المقارنة بين الأقوال، والموازنة بين أدلتها وترجيح ما ينهيه إليه البحث. وعليه، فليس كل من يباحث الخارج هو مجتهد إفتاء،... وعلى الأمة إذا أرادت أن تختار المجتهد للإفتاء والمرجعية في التقليد أن تتأكد من تأهله بالشروط المطلوبة، أي إنه فوق مستوى مجتهد الترجيح وبمستوى رتبة الإفتاء ومركز المرجعية»[49].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2) طرح المشاريع العلمية المنسجمة ومبدئية شمول الإسلام</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منذ بداياته النجفية الأولى، ارتبط العلامة الفضلي بالجمعيات والمؤسسات الثقافية النشِطة في حينها، ولا يخفى تأثير هذه البدايات على طبيعة المعالجات التي يقدّمها العلّامة في مؤلّفاته ودراساته البحثية. ولذلك نجده لا يكتفي بالمعالجة النظرية البحتة، وإنما يقترح مجموعة من البرامج والمشاريع التي من شأنها خدمة الفكرة التي يقدّمها بديلًا للواقع الفعلي.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ومن ذلك ما ذكره عن أنواع الاجتهاد، إذ قسّمه إلى: فردي وجماعي، مبيّنًا حاجة الأمة إلى الأخير منهما بصورة ملحّة، وذلك ببيانه الذي يقول فيه: «إنّ حدوث الثورة الصناعية في الغرب أحدث تطوُّرًا ضخمًا في الحياة من حيث التمدُّن، وذلك بتطوُّر الآلة، وتبع هذا التطوُّر المدني تطور في الحضارة، وتمثّل هذا بوضوح في وجود المؤسسات المالية، أمثال: البنوك والشركات، وفي تطوُّر عالم الطب وتطوُّر أجهزة العلاج الطبي وأدواته، وتطوُّر وسائل الإعلام ووسائط المواصلات ووسائل الاتصالات.</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وكل هذه وأمثالها لا بدّ من أن يقول الفقه الإسلامي كلمته فيها، وأن تدخل تشريعاته كأنظمة لها ارتباط مباشر بواقع حياة الناس، ذلك لأن الفقه هو نظام حياة المسلمين ينظّم علاقاتهم على مختلف أنماطها ومختلف مستوياتها ومختلف شؤونها فرديةً واجتماعية وسواهما.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وقد لا يتأتّى هذا بسهولة عن طريق الاجتهاد الفردي، بسبب ما يتطلّبه تنقيح الموضوع تنقيحًا واضحًا يجعله في متناول الفقيه بيسر ليبحث –بدوره– عن حكمه فيما لديه من نصوص وقواعد أفيدت من عمومات وإطلاقات النصوص، ذلك للفرق بين البحث الفردي والبحث الجماعي، ففي البحث الفردي يقوم الفرد بإعداد كل ما يرتبط بموضوع بحثه، ولأن طاقته كفرد طاقة محدودة، ووقته محدود، وقدراته العلمية والفنية أيضًا محدودة يعسر عليه البحث بحثًا منتجًا نتائج تبعّد كل ما يسببه اختلاف الفتاوى في القضايا العامّة من حرج للناس ومن شلل لحركة الأعمال والمال»[50].</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وكان ما ذكره أعلاه بمثابة تمهيد، ليقدّم مشروعه فيما يتعلّق بحركة الاجتهاد التي يطمح أن تصل إليها الحالة الإسلامية، وذلك بقوله: «إنّ مجال الاجتهاد الجماعي ومحله القضايا العامة التي مرّت أمثلتها في هذا النص. والذي يقوم بالاجتهاد الجماعي –عادةً– الهيئات الفقهية والمؤسسات الفقهية.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ويتحقّق هذا الاجتهاد في الواقع الموضوعي عن طريق: البحث الجماعي المشترك، أو إعداد البحوث في المسألة من قبل أكثر من فقيه، ثم عقد مجلس أو ندوة لمناقشتها، والخروج من ذلك بفتوى جماعية يتمّ الاتفاق عليها من قبل الجميع، أو الخروج بفتوى الأكثر مع الموافقة عليها من الجميع. وتصبح الفتوى إلزامية في حق جميع المسلمين أو المواطنين بتبني الدولة لها، ذلك أنّ من خصائص أحكام الدولة: الإلزام، كما هو معروف»[51].</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ولبيان مشروعية الاجتهاد الجماعي، يشير الفضلي إلى أنّ «(آية النفر) لم تتعرّض لكيفية ممارسة الاجتهاد، فلم تعرب عن لزوم اقتصار المجتهد على الاجتهاد الفردي، كما أنها لم تشر إلى أنّ له أن يمارس الاجتهاد الجماعي. وهذا يعني: أنه يمكن أن يكون فرديًّا ويمكن أن يكون جماعيًّا؛ لأنّ كلًّا منهما يصدق عليها أنه اجتهاد.</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والاقتصار على الجانب الفردي منه إنما هو من باب الأخذ بأظهر المصداقين، اتباعًا للوضع المألوف للاجتهادات الأخرى في العلوم الأخرى في تلكم العصور.</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مع أنه –في الواقع– هو نوع من تلاقح وتلاقي وتوافق اجتهادات فردية عند مسألة واحدة؛ لأن هناك ضرورات اقتضت ذلك، بسبب تطورات أوضاع أمور الناس وشؤونهم حضاريًّا ومدنيًّا. والمسألة –لحداثتها– لا تزال موضع بحث، وهي معروضة أمام فقهائنا للتوسُّع في دراستها والانتهاء إلى ما ينتهي إليه من نتائج»[52].</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وكمقدّمة للاجتهاد الفقهي، يقترح العلامة الفضلي «دراسة بعض العلوم التي تعدُّ علومًا مساعدة للدارس والباحث في مجال التخصص. وقد اصطلح على هذه العلوم: المقدمات والمبادئ. ومقدمات علم الفقه 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علوم اللغة العربية.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علوم القرآن.</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علوم البلاغة.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علوم الحديث.</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التاريخ الاجتماعي لعصر التشريع.</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الحياة الاجتماعية المعاصرة للفقيه.</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علم المنطق.</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علم أصول الفقه.</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القواعد الفقهية»[53].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وبعض ما ذكره العلامة الفضلي أعلاه يدرسه طالب الحوزات العلمية في صورتها التقليدية، وبعضها من اقترحاته التطويرية، كما هي الحال: مع علمي الحديث والرجال. وكذلك دراسة التاريخ الاجتماعي لعصر التشريع، الذي أراد منه: «أن يدرس الباحث الفقهي حضارة ومدنية العصر الذي صدرت فيه النصوص الشرعية، فيتعرف المجتمع العربي آنذاك في مختلف أطواره العرفية وتقاليده الاجتماعية وشتى شؤون حياته المعاشية، ليعرف بهذا القرائن المعنوية (قرائن المقام) وما إليها مما له مدخلية مباشرة أو غير مباشرة في إلقاء الضوء على تفسير محتوى النص وبيان مؤداه. وبخاصة أن أكثر النصوص الحديثية هي أجوبة لأسئلة عن واقع كان يعيشه السائل ويعايش أحداثه.</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وقد لا نصل إلى تحديد أمثال: الأوزان والمكاييل ووحدات القياس الأخرى والعملات النقدية، وبعض المفاهيم الاجتماعية التي كانت تسود عرف ذلكم العصر إلَّا بهذا»[54].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كما أنّ دراسة الحياة الاجتماعية المعاصرة للفقيه، من اقتراحات العلامة الفضلي التطويرية، وقد أراد بها: «أن يتعرّف الفقيهُ الحضارةَ والمدنية للعصر الذي يعيش فيه ويقدّم له نتائجه الفقهية من آراء وفتاوى.</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ذلك لأن الفقه هو النظام الشامل والقانون العام لحياة الإنسان المسلم، فإذا لم يعرف الفقيه حياة المسلم الذي يريد أن يقدّم له فقهه في جميع أبعادها وأنماطها وأطوارها الاجتماعية حضارية ومدنية، لم يعد فقهه قادرًا على تنظيم حياة المسلم المعاصر له»[55].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ومن المشاريع العلمية التي يقترحها العلامة الفضلي في مجال الاجتهاد الفقهي: تأليف وجمع الأحاديث وفق تصنيفات من شأنها المساهمة في عملية الاستنباط الفقهي، ومن ذلك ما اقترحه حول وضع مجموع بالأحاديث الإدارية التي تتميّز عن الأحاديث التشريعية، إذ إن الأولى صادرة لوضع تشريعات محدودة ضمن ظروف معينة، بينما صدرت الثانية عن المعصوم بخصوص تشريعات ثابتة. وذلك أثناء حديثه عن مشكلة التعارض بين الأحاديث، فقد يكون التعارض ناشئ عن طبيعة الحديثين المتعارضين: أحدهما تشريعي، والآخر إداري.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يقول العلامة الفضلي حول هذه الفكرة: «عدم التفرقة بين الحديث التشريعي والحديث الإداري قد يوقع في الاعتقاد بأن هناك تضاربًا بين الحديثين اللذين وردا على موضوع واحد، أولهما تشريعي والآخر إداري، واختلف في الحكم عليه، كأحاديث المتعة، حيث التشريعية منها تحلّلها، والإدارية تحرّمها.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وكأحاديث حدّ السرقة، فالتشريعية توجبه، والإدارية تسقطه، وعند علمنا بأنّ أحدهما المعيّن تشريعي والآخر إداري يرتفع التعارض الموهوم.</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إنّ عدم التفرقة بين الحديث التشريعي والآخر الإداري جرّ إلى إيجاد تعارض لا أساس له. والذي ينبغي أن يُعْمَلَ لحل هذه المشكلة هو تدوين قوائم كاملة للأحاديث الإدارية المنبثّة في كتب الحديث وموسوعاته من خلال إحصائيات وافية، لتكون تلكم القوائم المرجع في هذا المجال»[56].</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وفي سياق الموضوع ذاته، أثناء الحديث عن مشكلة التعارض، يشير العلامة الفضلي إلى أنّ من أسبابها ظاهرة الوضع في الحديث، وللحدّ من تأثير هذه الظاهرة، يقترح مشروعًا حديثيًّا آخر، فيقول: «إنَّ إفراز الأحاديث الموضوعة في قوائم تخصُّها، تحلّ مشكلة التعارض الموهوم المسبّبة عن عدم التمييز بين الحديث المعتبر والآخر الموضوع»[57].</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كما أنه، بعد الحديث عن محدودية المادة الفقهية المبحوثة واقتصارها في العديد من المتون على الجوانب العبادية البحتة، يقترح العلامة الفضلي إدخال المواد التالية: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«إدخال الفقه الاجتماعي بأنماطه المختلفة إلى جانب الفقه الفردي في برامج الدراسات الفقهية الحوزوية.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2) التطوير في إعداد الرسائل العملية بإدخال جميع المسائل المستحدثة ضمن الرسالة وفي موضعها المناسب لها.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إنشاء مكتبة فقهية متخصّصة في كل مركز من مراكز الدراسات الفقهية الكبرى، وفتح فروع لها في المعاهد التابعة لها.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4) إنشاء مركز خاص للبحوث الفقهية، يقوم بالأعمال التالية: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فهرسة الكتب والموسوعات الفقهية فهرسةً تفصيلية.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تحقيق التراث الفقهي تحقيقًا علميًّا متقنًا.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إعداد البحوث والسائل الفقهية.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إعداد التقارير للموضوعات الجديدة، أمثال: البنوك المالية، وبنوك الدم، وبنوك المعلومات، والشركات المالية، وقضايا الطب، ومستحضرات الأدوية العلاجية، ومستحضرات مواد التجميل، وإلخ..، لكي تقدّم إلى الفقهاء المجتهدين لدراستها والإفتاء فيها وحولها.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5) الاستمرار بإصدار مجلات البحوث الفقهية المتخصّصة والإكثار منها.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6) إصدار نشرات تُعنى بشؤون وأخبار عالم الفقه والفقهاء.</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7) إصدار موسوعة فقهية دورية، يعاد النظر في تدوينها ومن ثم طبعها كل خمس سنوات على الأكثر.</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8) إنشاء دور نشر للإنتاج الفقهي.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9) استمرار وجود المجامع الفقهية الراهنة وإنشاء أخرى مماثلة لها، لتقوم بالأعمال التالية: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عقد المؤتمرات الفقهية.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-إقامة الندوات الفقهية.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-إلقاء المحاضرات الفقهية.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 إعداد اللقاءات الفقهية.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10) إنشاء مراكز للإعلام الفقهي.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ومن المفيد أن أذكر هنا الإضافة الجديدة في عالم الاجتهاد، وممارسة الاستنباط، وهي: أخذ ومراعاة أثر الزمان والمكان في الاجتهاد عنصرًا أساسيًّا من عناصر الاجتهاد»[58].</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الآراء الفقهية المنسجمة وروحية الإسلام في تحرُّر الإنسان وحفظ كرامته</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يتحدّث الدكتور الفضلي عن دور التشريع الإسلامي في حفظ كرامة الإنسان، وأن ذلك يعد من أسسه المهمة، وينطلق من الآية الكريمة: ﴿وَلَقَدْ كَرَّمْنَا بَنِي آدَمَ﴾[59]، إذ يقول حولها: «إن هذا المسؤول هو في محلّ تكريم وتشريف، ولا يُتصوَّر بحال أن خضوع الإنسان لخالقه فيما فرضه الله عليه من تشريعات يتنافى والكرامة التي وهبها الله له. وهذه الآية الكريمة يمكن عدّها حاكمةً على التشريعات الإسلامية من حيث عدم وجود تشريعات في الفقه الإسلامي تؤدّي إلى هدر كرامة الإنسان أو تحطّ من  مكانته. فكرامة الإنسان محفوظة في جميع أحكام التشريع الإسلامي بموجب هذه الآية الكريمة. ولذلك يمكننا -ملخَّصًا- أن نقول بأن الإنسان في موقعيته في هذه الحياة هو مسؤول كريم»[60].</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وانطلاقًا من هذا المبدأ، يعالج العلامة الفضلي بعض المسائل ذات الحضور الإسلامي الواسع اليوم، ومن أبرزها: مسألة الصلح مع إسرائيل، ومعها مسألة العمليات الاستشهادية التي ينفّذها المسلمون المقاومون للمحتلّ الأجنبي.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إذ يصرّح العلامة الفضلي –بعد تناول القضية الفلسطينية تاريخيًّا وسياسيًّا– بوجوب «العمل من أجل استرجاع أرض فلسطين بكاملها، كما لا يجوز التعامل مه هذه الدولة التي تمثّل القاعدة الاستعمارية للدول الغربية. وموقف إيران من رفض السلام نابع من هذه الشرعية؛ ذلك أنّ إسرائيل مغتصبة لأرض إسلامية هي للمسلمين عامّة، وبإجماع فقهاء المسلمين كافّة»[61].</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وأثناء حديثه عن العمليات الاستشهادية، وما يعرف تاريخيًّا لدى المسلمين بالتضحية والفداء، يقول، رضوان الله عليه: «قد أكّدت النصوص الشرعية المروية عن أهل البيت (عليهم السلام) أن من يقتل في سبيل الله شهيد، تُرتَّب عليه أحكام الشهيد، من حيث عدم التغسيل والتكفين والتحنيط،... ولا فرق في ذلك بين أن يكون في زمن الحضور أو الغيبة. وإذا قتل فيه جرى عليه حكم الشهيد في ساحة الجهاد مع الكفار على أساس أنه قتل في سبيل الله»[62].</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ثمّ يعقّب بقوله: «إنّ التضحية بعنوان الدفاع عن الحق لإسقاط سلطان جائر لم يرتدع عن جوره وظلمه تدخل تحت عنوان: الجهاد الدفاعي، الذي يتحقّق بإحدى  وسيلتين: تجهيز الجيش، أو التضحية المنفردة»[63].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مفرِّقًا بين التضحية والانتحار، إذ عدّ الأخير بأنه: مجرد «قتل الإنسان نفسه عن عمد»، بينما التضحية: «بذل النفس في سبيل الله دفاعًا عن الحقّ. وعلى هذا فالفرق بينهما واضح، وهو أن الانتحار غاية، بينما التضحية وسيلة إلى غاية»[64].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الخاتمة: النتائج والتوصيات</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النتائج</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تأثرت العلوم الإسلامية بدءَ تأسيسها بالمنطق الأوروسطي، ما جعل المنهجية العقلية في معالجة مسائلها وتبويبها هي الغالبة. وهي المنهجية التي لا تراعي –في العديد من أمثلتها– طبيعة العلوم وتطبيقاتها الخارجية، ما يدعو إلى إعادة النظر في هذه المنهجية واستبدالها بمنهجية تنسجم وطبيعة كل علم وحقل معرفي.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2) كما تتأثر نتائج العلوم بمنهجية المعالجة داخل كل علم، تتأثر أيضًا بالخلفية الثقافية والمبدئية التي ينطلق منها كل متخصّص داخل الحقل العلمي الذي تخصّص فيه.</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يتدخّل فهم الفقيه للغة العربية -في نحوها وصرفها ودلالتها ومعالجة مفرداتها، وهي لغة النصوص الشرعية– في معالجة تعارض الأدلة التي يواجهها في بحث مسائله الفقهية. كما تتدخّل دراسته للنصّ في إطار ظروفه التي ولد فيها، وكذلك آلية ربطه للنص بالواقع التطبيقي. ومما يؤثّر على آلية فكّ تعارض الأدلّة: نظرة الفقيه إلى التشريع الإسلامي وحدود صلته بواقع الحياة المعاصرة، ويضاف إلى ذلك: تذوّقه الأدبي والفني للنصّ الشرعي، والتعامل مع النص كمفردة من الكلام الاجتماعي.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4) من الفقهاء الذين بيّن العلامة الفضلي تأثّرهم فقهًا وأصولًا بالجانب الثقافي: الشريف المرتضى، حيث بيّن تأثّره بالأجواء الكلامية التي هيمنت زمنًا على المسائل الأصولية، وبخاصّة أنه من متكلّمي الإمامية، والشيخ محمد رضا آل ياسين الذي كان لانفتاحه الثقافي أثر على بعض الفتاوى الخاصّة بمستحدثات المسائل، والشهيد السيد محمد باقر الصدر الذي كان لثقافته المعاصرة أثر على تحديث الدرس الأصولي الإمامي في النجف الأشرف.</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5) لاهتمامات العلامة الفضلي اللغوية أثرها على اجتهاده الفقهي، ومن أمثلة ذلك: ترجيحه للرأي الفقهي في عَدّ المضاربة بابًا فقهيًّا مستقلًّا عن الشركة، وعدم صحّة تقديم القبول في المعاملات الفقهية على العرض من قبل البائع، مثلًا، لكون صيغتي القبول والرضى إخبار، ولا يكون الإخبار إلّا عن شيء واقع. وإفادته المعنى اللغوي لـ(قوّامون) من الاستعمالات اللغوية الاجتماعية، ومن ثمّ اعتماده في مسألة ولاية المرأة، وتفريقه بين الاستعمالين: الإخباري والإنشائي في النصوص الشرعية، وبخاصّة أن معظم النصوص التي يتعامل معها الفقيه إنشائية، ما يتطلّب معالجة تختلف عن الإخبارية، ومن ذلك الابتعاد عن المعالجة المنطقية، وهي معالجات تختصّ في معظمها بالجمل الإخبارية التي لا يواجهها الفقيه كثيرًا.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6) يظهر أثر الإلمام التاريخي الواسع عند العلامة الفضلي في تأكيده أصالة المذهب الإمامي، وبخاصّة مع المقارنة مع بقية المذاهب الإسلامية الأخرى، ويظهر ذلك أيضًا في معالجته لمفهوم المؤونة أثناء الحديث عن خُمس فاضل المؤونة، وفي نقده لبعض تعريفات الاجتهاد الفقهي وبيان خلفيات تلكم التعريفات.</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7) من شواهد تأثر اجتهاد العلامة الفضلي باطلاعه على مناهج البحث الحديثة: معالجة الإطلاق والتقييد في النصوص الشرعية معالجة عرفية؛ لأنهما في الأصل مفهومان عرفيان، وتناول مسألة تقليد الميت ابتداءً بناء على السيرة العقلائية؛ لصلتها بالتشريع الذي هو أمر اعتباري، وليس أمرًا عقلائيًّا بحتًا، كما يقترح العلامة الفضلي تبويبًا فقهيًّا ينسجم وطبيعة الأحكام الفقهية، وذلك في تبويب سباعي يشمل المسائل الفقهية ضمن الأبواب التالية: أحكام العبادات، والأحكام الفردية، وأحكام الأسرة، والأحكام الاجتماعية، وأحكام الدولة، وأحكام الحقوق المالية العامة، وأحكام المعاملات الاقتصادية.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8) ومن شواهد حضور ثقافته المعاصرة في اجتهاده الفقهي: معالجته لمسألة اختلاف سنّ اليأس عند القرشية عن سنّ اليأس عند غيرها بأنه راجع إلى الوراثة والسلالة، وهو ما تقرّه التقارير الطبية، وكذلك رأيه الذي يذهب فيه إلى اجتماع الحمل والحيض عند المرأة، وصحّة أنواع البيوع الحديثة عن طريق: الهاتف والفاكس والإنترنت وآلة البيع الذاتي.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9) انطلاقًا من نظرة العلامة الفضلي للإسلام كنظام شامل للحياة، يستنكر قَصْرَ المادة الفقهية على مسائل العبادات وبعض المعاملات الفردية، ويرى ضرورة شموليتها لجميع مناحي الحياة، مستلهمًا ذلك من التجربة النبوية التي نظّم فيها نبينا الكريم (صلى الله عليه وآله وسلم) المجتمع المسلم ضمن مهام وأنظمة أشبه بالدولة الحديثة، ما يفرض حضورًا للتشريعات التي تتناسب وهذه الرؤية. ولأهمّية موقع المرجعية الدينية، يضع لها العلامة الفضلي مجموعة من التصوُّرات التي تنسجم ورؤيته لشمولية النظام الإسلامي.</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10) يقترح العلامة الفضلي مجموعة من المشاريع النهضوية تتعلّق بتطوير عملية الاجتهاد الفقهي، منها: الانفتاح على الاجتهاد الجماعي، وبخاصّة ما يرتبط بقضايا الأمة والمجتمع وتطويره من خلال العديد من المؤتمرات واللجان الفقهية التخصّصية، وبخاصّة مع ما تشهده الحياة المعاصرة من تعقيدات وتطورات سريعة مهمّة وذات طبيعة جديدة، كما أن العلامة الفضلي يقترح مجموعة من المواد الممهِّدة لعلمية الاستنباط الفقهي، منها: دراسة علمي الرجال والحديث، والقواعد الفقهية، والتاريخ الاجتماعي لعصر التشريع، والحياة الاجتماعية المعاصرة للفقيه. ومن المشاريع المقترحة: وضع مجاميع حديثية خاصّة بالأحاديث الإدارية المختلفة عن الأحاديث التشريعية، وكذلك مجاميع بالأحاديث الموضوعة.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lastRenderedPageBreak/>
        <w:t>11) ومن آراء العلامة الفضلي المنسجمة والروح المبدئية المخلصة للإسلام ولكرامة الإنسان: رأيه الصريح في ضرورة التخلُّص من المحتلّ الأجنبي، بما في ذلك العدوّ الصهيوني ووجوب استرجاع كامل أرض فلسطين المحتلة، وإفتاؤه بصحّة العمليات الفدائية، وتفريقه بينها وبين العمليات الانتحارية.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التوصيات</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1) للمنهجية الحديثة في التبويب ومعالجة المسائل العلمية دورها في الخروج بنتائج تعالج متطلّبات الحياة المعاصرة، وكذلك تساهم في تجسير العلاقة بين معطيات الدرس الشرعي ومخرجات الدرس الأكاديمي الحديث، ما يحقّق تكاملًا منشودًا بين الحوزة والجامعة. ما يتطلّب جهودًا جادة في تحديث المقرّرات الدراسية وفق هذه المنهجية، ليتعوّد الدراس عليها، ولتكون مدار الدرس والتدريس، ما يسرّع في تطويرها وتراكم التجربة حولها.</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2) أفاد العلامة الفضلي من اهتماماته اللغوية في تطوير الدرس اللغوي، ويمكن توسيع الإفادة من التخصّصات العلمية في رفد ما يخدم عملية الاجتهاد الفقهي، ويمكن تطبيق ذلك بأن تضع الجامعات الإسلامية مسارات علمية، يتخصّص كل مسار في رفد الدراسات الفقهية بالمادة والمعالجة التي تطوّر من الرؤية حول الموضوعات التي يدرسها الفقهاء ولها جوانب علمية أخرى.</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3) اقترح العلامة الفضلي تبويب الفقه تبويبًا سباعيًّا، شملت بعض تلكم الأبواب المادة الفقهية المبحوثة ضمن المتون التقليدية، فيما تفتقد الأبواب الأخرى إلى مادة فقهية مدوّنة بصورة مستقلة، وإنما متناثرة، سواء في كتب الفقه ضمن أبواب لا تتبعها من الناحية المنهجية، كما هي الحال مع أحكام الغناء مثلًا، أو أنها مبثوثة ضمن المصادر غير الفقهية، كما هي الحال مع بعض القيم الأخلاقية، من قبيل: التجسس والنميمة والغيبة، التي تعدّ أحكامًا فقهيًّا لكونها ضمن دائرة المحرّمات، مثلًا. ومن المهم أن تتبنى المؤسسات البحثية تناول هذه العناوين بالبحث والدراسة الفقهيين، بحيث تتراكم هذه الدراسات، لتشكّل مجموعًا فقهيًّا معاصرًا، يلبي جزءًا كبيرًا من متطلّبات المعاصَرة.</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tl/>
        </w:rPr>
        <w:t>4) اقترح العلامة الفضلي مجموعة من المشاريع البحثية من شأنها تطوير وتيسير عملية الاجتهاد الفقهي، منها: وضع مجاميع حديثية للأحاديث الإدارية الصادرة عن النبي (صلى الله عليه وآله وسلم) وأهل بيته (عليهم السلام)، وكذلك وضع مجاميع حديثية للأحاديث الموضوعة، ومن المهمّ أن تجد هذه المشاريع طريقها إلى النور.</w:t>
      </w:r>
    </w:p>
    <w:p w:rsidR="00F40223" w:rsidRPr="00F40223" w:rsidRDefault="00F40223" w:rsidP="00F40223">
      <w:pPr>
        <w:bidi w:val="0"/>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rPr>
        <w:t> </w:t>
      </w:r>
    </w:p>
    <w:p w:rsidR="00F40223" w:rsidRPr="00F40223" w:rsidRDefault="00F40223" w:rsidP="00F40223">
      <w:pPr>
        <w:bidi w:val="0"/>
        <w:spacing w:after="0" w:line="240" w:lineRule="auto"/>
        <w:jc w:val="both"/>
        <w:rPr>
          <w:rFonts w:ascii="Times New Roman" w:eastAsia="Times New Roman" w:hAnsi="Times New Roman" w:cs="Times New Roman"/>
          <w:sz w:val="24"/>
          <w:szCs w:val="24"/>
        </w:rPr>
      </w:pPr>
      <w:r w:rsidRPr="00F40223">
        <w:rPr>
          <w:rFonts w:ascii="Times New Roman" w:eastAsia="Times New Roman" w:hAnsi="Times New Roman" w:cs="Times New Roman"/>
          <w:sz w:val="24"/>
          <w:szCs w:val="24"/>
        </w:rPr>
        <w:pict>
          <v:rect id="_x0000_i1025" style="width:148.95pt;height:.75pt" o:hrpct="330" o:hrstd="t" o:hr="t" fillcolor="#a0a0a0" stroked="f"/>
        </w:pic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Pr>
      </w:pPr>
      <w:r w:rsidRPr="00F40223">
        <w:rPr>
          <w:rFonts w:ascii="Times New Roman" w:eastAsia="Times New Roman" w:hAnsi="Times New Roman" w:cs="Times New Roman"/>
          <w:sz w:val="24"/>
          <w:szCs w:val="24"/>
          <w:vertAlign w:val="superscript"/>
          <w:rtl/>
        </w:rPr>
        <w:t>[1]</w:t>
      </w:r>
      <w:r w:rsidRPr="00F40223">
        <w:rPr>
          <w:rFonts w:ascii="Times New Roman" w:eastAsia="Times New Roman" w:hAnsi="Times New Roman" w:cs="Times New Roman"/>
          <w:sz w:val="24"/>
          <w:szCs w:val="24"/>
          <w:rtl/>
        </w:rPr>
        <w:t xml:space="preserve"> الدكتور عبد الهادي الفضلي، الوسيط في فهم النصوص الشرعية، بيروت: مركز الغدير، ط2، 1426ﻫ - 2005م، ص 73.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[2]</w:t>
      </w:r>
      <w:r w:rsidRPr="00F40223">
        <w:rPr>
          <w:rFonts w:ascii="Times New Roman" w:eastAsia="Times New Roman" w:hAnsi="Times New Roman" w:cs="Times New Roman"/>
          <w:sz w:val="24"/>
          <w:szCs w:val="24"/>
          <w:rtl/>
        </w:rPr>
        <w:t xml:space="preserve"> الدكتور عبدالهادي الفضلي، المصدر السابق، ص 74.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[3]</w:t>
      </w:r>
      <w:r w:rsidRPr="00F40223">
        <w:rPr>
          <w:rFonts w:ascii="Times New Roman" w:eastAsia="Times New Roman" w:hAnsi="Times New Roman" w:cs="Times New Roman"/>
          <w:sz w:val="24"/>
          <w:szCs w:val="24"/>
          <w:rtl/>
        </w:rPr>
        <w:t xml:space="preserve"> الدكتور عبد الهادي الفضلي، دروس في أصول فقه الإمامية، بيروت: مركز الغدير، ط2، 1426 – 2005م، ج2/ 569.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[4]</w:t>
      </w:r>
      <w:r w:rsidRPr="00F40223">
        <w:rPr>
          <w:rFonts w:ascii="Times New Roman" w:eastAsia="Times New Roman" w:hAnsi="Times New Roman" w:cs="Times New Roman"/>
          <w:sz w:val="24"/>
          <w:szCs w:val="24"/>
          <w:rtl/>
        </w:rPr>
        <w:t xml:space="preserve"> الدكتور عبد الهادي الفضلي، المصدر السابق، ج1/ 68 – 69.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[5]</w:t>
      </w:r>
      <w:r w:rsidRPr="00F40223">
        <w:rPr>
          <w:rFonts w:ascii="Times New Roman" w:eastAsia="Times New Roman" w:hAnsi="Times New Roman" w:cs="Times New Roman"/>
          <w:sz w:val="24"/>
          <w:szCs w:val="24"/>
          <w:rtl/>
        </w:rPr>
        <w:t xml:space="preserve"> الحضارة الإسلامية بين دواعي النهوض وموانع التقدُّم، محاضرات الدكتور عبد الهادي الفضلي، بيروت: مركز الحضارة لتنمية الفكر الإسلامي، ط1، 2013م، ص 182.</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[6]</w:t>
      </w:r>
      <w:r w:rsidRPr="00F40223">
        <w:rPr>
          <w:rFonts w:ascii="Times New Roman" w:eastAsia="Times New Roman" w:hAnsi="Times New Roman" w:cs="Times New Roman"/>
          <w:sz w:val="24"/>
          <w:szCs w:val="24"/>
          <w:rtl/>
        </w:rPr>
        <w:t xml:space="preserve"> المصدر السابق، ص 183.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[7]</w:t>
      </w:r>
      <w:r w:rsidRPr="00F40223">
        <w:rPr>
          <w:rFonts w:ascii="Times New Roman" w:eastAsia="Times New Roman" w:hAnsi="Times New Roman" w:cs="Times New Roman"/>
          <w:sz w:val="24"/>
          <w:szCs w:val="24"/>
          <w:rtl/>
        </w:rPr>
        <w:t xml:space="preserve"> الدكتور عبد الهادي الفضلي، أصالة الاجتهاد عند الشهيد الصدر، بيروت: المركز الإسلامي الثقافي، ط1، 1437ﻫ - 2016م، ص 68 – 69.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[8]</w:t>
      </w:r>
      <w:r w:rsidRPr="00F40223">
        <w:rPr>
          <w:rFonts w:ascii="Times New Roman" w:eastAsia="Times New Roman" w:hAnsi="Times New Roman" w:cs="Times New Roman"/>
          <w:sz w:val="24"/>
          <w:szCs w:val="24"/>
          <w:rtl/>
        </w:rPr>
        <w:t xml:space="preserve"> الدكتور عبد لهادي الفضلي، المصدر السابق، ص 71.</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lastRenderedPageBreak/>
        <w:t>[9]</w:t>
      </w:r>
      <w:r w:rsidRPr="00F40223">
        <w:rPr>
          <w:rFonts w:ascii="Times New Roman" w:eastAsia="Times New Roman" w:hAnsi="Times New Roman" w:cs="Times New Roman"/>
          <w:sz w:val="24"/>
          <w:szCs w:val="24"/>
          <w:rtl/>
        </w:rPr>
        <w:t xml:space="preserve"> انظر: المصدر السابق، ص 71 – 77.</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[10]</w:t>
      </w:r>
      <w:r w:rsidRPr="00F40223">
        <w:rPr>
          <w:rFonts w:ascii="Times New Roman" w:eastAsia="Times New Roman" w:hAnsi="Times New Roman" w:cs="Times New Roman"/>
          <w:sz w:val="24"/>
          <w:szCs w:val="24"/>
          <w:rtl/>
        </w:rPr>
        <w:t xml:space="preserve"> آرنست ماير، هذا هو علم البيولوجيا، ترجمة: د. عفيفي محمود عفيفي، الكويت: سلسلة عالم المعرفة، عدد 277، يناير 2002م، ص 13.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[11]</w:t>
      </w:r>
      <w:r w:rsidRPr="00F40223">
        <w:rPr>
          <w:rFonts w:ascii="Times New Roman" w:eastAsia="Times New Roman" w:hAnsi="Times New Roman" w:cs="Times New Roman"/>
          <w:sz w:val="24"/>
          <w:szCs w:val="24"/>
          <w:rtl/>
        </w:rPr>
        <w:t xml:space="preserve"> الشيخ عبد الهادي الفضلي، المضاربة ودورها في تداول وتوزيع الثروة، مجلة النجف، العدد 7، السنة 5، ذو القعدة 1382ﻫ - نيسان 1963م، ص 48 – 49.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[12]</w:t>
      </w:r>
      <w:r w:rsidRPr="00F40223">
        <w:rPr>
          <w:rFonts w:ascii="Times New Roman" w:eastAsia="Times New Roman" w:hAnsi="Times New Roman" w:cs="Times New Roman"/>
          <w:sz w:val="24"/>
          <w:szCs w:val="24"/>
          <w:rtl/>
        </w:rPr>
        <w:t xml:space="preserve"> عبدالهادي الفضلي، دروس في أصول فقه الإمامية، مصدر سابق، ج2/ 185.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[13]</w:t>
      </w:r>
      <w:r w:rsidRPr="00F40223">
        <w:rPr>
          <w:rFonts w:ascii="Times New Roman" w:eastAsia="Times New Roman" w:hAnsi="Times New Roman" w:cs="Times New Roman"/>
          <w:sz w:val="24"/>
          <w:szCs w:val="24"/>
          <w:rtl/>
        </w:rPr>
        <w:t xml:space="preserve"> الدكتور عبد الهادي الفضلي، دروس في فقه الإمامية، بيروت: مركز الغدير، ط2، 1435ﻫ - 2014م، ج3/ 168.</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[14]</w:t>
      </w:r>
      <w:r w:rsidRPr="00F40223">
        <w:rPr>
          <w:rFonts w:ascii="Times New Roman" w:eastAsia="Times New Roman" w:hAnsi="Times New Roman" w:cs="Times New Roman"/>
          <w:sz w:val="24"/>
          <w:szCs w:val="24"/>
          <w:rtl/>
        </w:rPr>
        <w:t xml:space="preserve"> الدكتور عبد الهادي الفضلي، بحوث فقهية معاصرة، بيروت: مركز الغدير، ط1، 1435ﻫ - 2014م، ص 135.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[15]</w:t>
      </w:r>
      <w:r w:rsidRPr="00F40223">
        <w:rPr>
          <w:rFonts w:ascii="Times New Roman" w:eastAsia="Times New Roman" w:hAnsi="Times New Roman" w:cs="Times New Roman"/>
          <w:sz w:val="24"/>
          <w:szCs w:val="24"/>
          <w:rtl/>
        </w:rPr>
        <w:t xml:space="preserve"> الدكتور عبد الهادي الفضلي، المصدر السابق، ص 225 – 226.</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[16]</w:t>
      </w:r>
      <w:r w:rsidRPr="00F40223">
        <w:rPr>
          <w:rFonts w:ascii="Times New Roman" w:eastAsia="Times New Roman" w:hAnsi="Times New Roman" w:cs="Times New Roman"/>
          <w:sz w:val="24"/>
          <w:szCs w:val="24"/>
          <w:rtl/>
        </w:rPr>
        <w:t xml:space="preserve"> الدكتور عبد الهادي الفضلي، المصدر السابق، ص 226.</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[17]</w:t>
      </w:r>
      <w:r w:rsidRPr="00F40223">
        <w:rPr>
          <w:rFonts w:ascii="Times New Roman" w:eastAsia="Times New Roman" w:hAnsi="Times New Roman" w:cs="Times New Roman"/>
          <w:sz w:val="24"/>
          <w:szCs w:val="24"/>
          <w:rtl/>
        </w:rPr>
        <w:t xml:space="preserve"> الدكتور عبد الهادي الفضلي، المصدر السابق، ص 251 – 252.</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[18]</w:t>
      </w:r>
      <w:r w:rsidRPr="00F40223">
        <w:rPr>
          <w:rFonts w:ascii="Times New Roman" w:eastAsia="Times New Roman" w:hAnsi="Times New Roman" w:cs="Times New Roman"/>
          <w:sz w:val="24"/>
          <w:szCs w:val="24"/>
          <w:rtl/>
        </w:rPr>
        <w:t xml:space="preserve"> الدكتور عبد الهادي الفضلي، دروس في أصول فقه الإمامية، مصدر سابق، ج2/ 145.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[19]</w:t>
      </w:r>
      <w:r w:rsidRPr="00F40223">
        <w:rPr>
          <w:rFonts w:ascii="Times New Roman" w:eastAsia="Times New Roman" w:hAnsi="Times New Roman" w:cs="Times New Roman"/>
          <w:sz w:val="24"/>
          <w:szCs w:val="24"/>
          <w:rtl/>
        </w:rPr>
        <w:t xml:space="preserve"> الدكتور عبد الهادي الفضلي، من البعثة إلى الدولة، بيروت: دار المحجّة البيضاء، ط2، 1437ﻫ - 2016م، ص 19 – 20.</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[20]</w:t>
      </w:r>
      <w:r w:rsidRPr="00F40223">
        <w:rPr>
          <w:rFonts w:ascii="Times New Roman" w:eastAsia="Times New Roman" w:hAnsi="Times New Roman" w:cs="Times New Roman"/>
          <w:sz w:val="24"/>
          <w:szCs w:val="24"/>
          <w:rtl/>
        </w:rPr>
        <w:t xml:space="preserve"> الدكتور الفضلي، الشيخ المفيد مؤسس المدرسة الأصولية الإمامية، أعمال مؤتمر ألفية الشيخ المفيد - قم، الدراسة رقم 117، 1413ﻫ - 1371ﻫ. ش، ص 5 - 6، بتصرّف واختصار.</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[21]</w:t>
      </w:r>
      <w:r w:rsidRPr="00F40223">
        <w:rPr>
          <w:rFonts w:ascii="Times New Roman" w:eastAsia="Times New Roman" w:hAnsi="Times New Roman" w:cs="Times New Roman"/>
          <w:sz w:val="24"/>
          <w:szCs w:val="24"/>
          <w:rtl/>
        </w:rPr>
        <w:t xml:space="preserve"> الدكتور عبد الهادي الفضلي، دروس في فقه الإمامية، مصدر سابق، ص 121، مع بعض التصرّف.</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[22]</w:t>
      </w:r>
      <w:r w:rsidRPr="00F40223">
        <w:rPr>
          <w:rFonts w:ascii="Times New Roman" w:eastAsia="Times New Roman" w:hAnsi="Times New Roman" w:cs="Times New Roman"/>
          <w:sz w:val="24"/>
          <w:szCs w:val="24"/>
          <w:rtl/>
        </w:rPr>
        <w:t xml:space="preserve"> الدكتور عبد الهادي الفضلي، مبادئ علم الفقه، بيروت: مركز الغدير، ط2، 1431ﻫ - 2010م، ج2/ 272 - 273.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[23]</w:t>
      </w:r>
      <w:r w:rsidRPr="00F40223">
        <w:rPr>
          <w:rFonts w:ascii="Times New Roman" w:eastAsia="Times New Roman" w:hAnsi="Times New Roman" w:cs="Times New Roman"/>
          <w:sz w:val="24"/>
          <w:szCs w:val="24"/>
          <w:rtl/>
        </w:rPr>
        <w:t xml:space="preserve"> الدكتور عبد الهادي الفضلي، التقليد والاجتهاد، بيروت" مركز الغدير، ط2، 1426ﻫ - 2005م، ص 185 – 186.</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[24]</w:t>
      </w:r>
      <w:r w:rsidRPr="00F40223">
        <w:rPr>
          <w:rFonts w:ascii="Times New Roman" w:eastAsia="Times New Roman" w:hAnsi="Times New Roman" w:cs="Times New Roman"/>
          <w:sz w:val="24"/>
          <w:szCs w:val="24"/>
          <w:rtl/>
        </w:rPr>
        <w:t xml:space="preserve"> الدكتور عبد الهادي الفضلي، دروس في أصول فقه الإمامية، مصدر سابق، ج2/ 153.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[25]</w:t>
      </w:r>
      <w:r w:rsidRPr="00F40223">
        <w:rPr>
          <w:rFonts w:ascii="Times New Roman" w:eastAsia="Times New Roman" w:hAnsi="Times New Roman" w:cs="Times New Roman"/>
          <w:sz w:val="24"/>
          <w:szCs w:val="24"/>
          <w:rtl/>
        </w:rPr>
        <w:t xml:space="preserve"> الدكتور عبد الهادي الفضلي، المصدر السابق، ج2/ 411.</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[26]</w:t>
      </w:r>
      <w:r w:rsidRPr="00F40223">
        <w:rPr>
          <w:rFonts w:ascii="Times New Roman" w:eastAsia="Times New Roman" w:hAnsi="Times New Roman" w:cs="Times New Roman"/>
          <w:sz w:val="24"/>
          <w:szCs w:val="24"/>
          <w:rtl/>
        </w:rPr>
        <w:t xml:space="preserve"> الدكتور عبد الهادي الفضلي، التقليد والاجتهاد، مصدر سابق، ص 154.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[27]</w:t>
      </w:r>
      <w:r w:rsidRPr="00F40223">
        <w:rPr>
          <w:rFonts w:ascii="Times New Roman" w:eastAsia="Times New Roman" w:hAnsi="Times New Roman" w:cs="Times New Roman"/>
          <w:sz w:val="24"/>
          <w:szCs w:val="24"/>
          <w:rtl/>
        </w:rPr>
        <w:t xml:space="preserve"> انظر: الدكتور عبد الهادي الفضلي، دروس في فقه الإمامية، مصدر سابق، ج3/ 164.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[28]</w:t>
      </w:r>
      <w:r w:rsidRPr="00F40223">
        <w:rPr>
          <w:rFonts w:ascii="Times New Roman" w:eastAsia="Times New Roman" w:hAnsi="Times New Roman" w:cs="Times New Roman"/>
          <w:sz w:val="24"/>
          <w:szCs w:val="24"/>
          <w:rtl/>
        </w:rPr>
        <w:t xml:space="preserve"> الدكتور عبد الهادي الفضلي، قضايا وآراء، بيروت: دار الزهراء، ط1، 1414ﻫ - 1993م، ص 59.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[29]</w:t>
      </w:r>
      <w:r w:rsidRPr="00F40223">
        <w:rPr>
          <w:rFonts w:ascii="Times New Roman" w:eastAsia="Times New Roman" w:hAnsi="Times New Roman" w:cs="Times New Roman"/>
          <w:sz w:val="24"/>
          <w:szCs w:val="24"/>
          <w:rtl/>
        </w:rPr>
        <w:t xml:space="preserve"> الدكتور عبد الهادي الفضلي، دروس في فقه الإمامية، مصدر سابق، ج1/ 278 - 279.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[30]</w:t>
      </w:r>
      <w:r w:rsidRPr="00F40223">
        <w:rPr>
          <w:rFonts w:ascii="Times New Roman" w:eastAsia="Times New Roman" w:hAnsi="Times New Roman" w:cs="Times New Roman"/>
          <w:sz w:val="24"/>
          <w:szCs w:val="24"/>
          <w:rtl/>
        </w:rPr>
        <w:t xml:space="preserve"> الدكتور عبد الهادي الفضلي، دروس في فقه الإمامية، مصدر سابق، ج5/ 37 – 38.</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[31]</w:t>
      </w:r>
      <w:r w:rsidRPr="00F40223">
        <w:rPr>
          <w:rFonts w:ascii="Times New Roman" w:eastAsia="Times New Roman" w:hAnsi="Times New Roman" w:cs="Times New Roman"/>
          <w:sz w:val="24"/>
          <w:szCs w:val="24"/>
          <w:rtl/>
        </w:rPr>
        <w:t xml:space="preserve"> الدكتور عبد الهادي الفضلي، دروس في أصول فقه الإمامية، مصدر سابق، ج2/ 313 - 314.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lastRenderedPageBreak/>
        <w:t>[32]</w:t>
      </w:r>
      <w:r w:rsidRPr="00F40223">
        <w:rPr>
          <w:rFonts w:ascii="Times New Roman" w:eastAsia="Times New Roman" w:hAnsi="Times New Roman" w:cs="Times New Roman"/>
          <w:sz w:val="24"/>
          <w:szCs w:val="24"/>
          <w:rtl/>
        </w:rPr>
        <w:t xml:space="preserve"> السيد مصطفى جمال الدين، الديوان، بيروت: دار المؤرّخ، ط1، 1415ﻫ - 1995م، ص 21.</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[33]</w:t>
      </w:r>
      <w:r w:rsidRPr="00F40223">
        <w:rPr>
          <w:rFonts w:ascii="Times New Roman" w:eastAsia="Times New Roman" w:hAnsi="Times New Roman" w:cs="Times New Roman"/>
          <w:sz w:val="24"/>
          <w:szCs w:val="24"/>
          <w:rtl/>
        </w:rPr>
        <w:t xml:space="preserve"> الدكتور عبد الهادي الفضلي، دروس في فقه الإمامية، مصدر سابق، ج2/ 139 – 140.</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[34]</w:t>
      </w:r>
      <w:r w:rsidRPr="00F40223">
        <w:rPr>
          <w:rFonts w:ascii="Times New Roman" w:eastAsia="Times New Roman" w:hAnsi="Times New Roman" w:cs="Times New Roman"/>
          <w:sz w:val="24"/>
          <w:szCs w:val="24"/>
          <w:rtl/>
        </w:rPr>
        <w:t xml:space="preserve"> الدكتور عبد الهادي الفضلي، المصدر السابق، ج2/ 150، مع اختصار وتصرف يسيرين.</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[35]</w:t>
      </w:r>
      <w:r w:rsidRPr="00F40223">
        <w:rPr>
          <w:rFonts w:ascii="Times New Roman" w:eastAsia="Times New Roman" w:hAnsi="Times New Roman" w:cs="Times New Roman"/>
          <w:sz w:val="24"/>
          <w:szCs w:val="24"/>
          <w:rtl/>
        </w:rPr>
        <w:t xml:space="preserve"> الدكتور عبد الهادي الفضلي، المصدر السابق، ج3/ 191.</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[36]</w:t>
      </w:r>
      <w:r w:rsidRPr="00F40223">
        <w:rPr>
          <w:rFonts w:ascii="Times New Roman" w:eastAsia="Times New Roman" w:hAnsi="Times New Roman" w:cs="Times New Roman"/>
          <w:sz w:val="24"/>
          <w:szCs w:val="24"/>
          <w:rtl/>
        </w:rPr>
        <w:t xml:space="preserve"> عبدالهادي الفضلي، المصدر السابق، ج3/ 191 – 192.</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[37]</w:t>
      </w:r>
      <w:r w:rsidRPr="00F40223">
        <w:rPr>
          <w:rFonts w:ascii="Times New Roman" w:eastAsia="Times New Roman" w:hAnsi="Times New Roman" w:cs="Times New Roman"/>
          <w:sz w:val="24"/>
          <w:szCs w:val="24"/>
          <w:rtl/>
        </w:rPr>
        <w:t xml:space="preserve"> عبدالهادي الفضلي، المصدر السابق، ج4/ 166.</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[38]</w:t>
      </w:r>
      <w:r w:rsidRPr="00F40223">
        <w:rPr>
          <w:rFonts w:ascii="Times New Roman" w:eastAsia="Times New Roman" w:hAnsi="Times New Roman" w:cs="Times New Roman"/>
          <w:sz w:val="24"/>
          <w:szCs w:val="24"/>
          <w:rtl/>
        </w:rPr>
        <w:t xml:space="preserve"> عبدالهادي الفضلي، المصدر السابق، ج4/ 167.</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[39]</w:t>
      </w:r>
      <w:r w:rsidRPr="00F40223">
        <w:rPr>
          <w:rFonts w:ascii="Times New Roman" w:eastAsia="Times New Roman" w:hAnsi="Times New Roman" w:cs="Times New Roman"/>
          <w:sz w:val="24"/>
          <w:szCs w:val="24"/>
          <w:rtl/>
        </w:rPr>
        <w:t xml:space="preserve"> عبدالهادي الفضلي، المصدر السابق، ج5/ 251 – 252.</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[40]</w:t>
      </w:r>
      <w:r w:rsidRPr="00F40223">
        <w:rPr>
          <w:rFonts w:ascii="Times New Roman" w:eastAsia="Times New Roman" w:hAnsi="Times New Roman" w:cs="Times New Roman"/>
          <w:sz w:val="24"/>
          <w:szCs w:val="24"/>
          <w:rtl/>
        </w:rPr>
        <w:t xml:space="preserve"> الدكتور عبد الهادي الفضلي، الإسلام والتعدُّد الحضاري، بيروت: مركز الحضارة لتنمية الفكر الإسلامي، ط1، 2014م، ص 89.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[41]</w:t>
      </w:r>
      <w:r w:rsidRPr="00F40223">
        <w:rPr>
          <w:rFonts w:ascii="Times New Roman" w:eastAsia="Times New Roman" w:hAnsi="Times New Roman" w:cs="Times New Roman"/>
          <w:sz w:val="24"/>
          <w:szCs w:val="24"/>
          <w:rtl/>
        </w:rPr>
        <w:t xml:space="preserve"> عبدالهادي الفضلي، المصدر السابق، ص 117.</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[42]</w:t>
      </w:r>
      <w:r w:rsidRPr="00F40223">
        <w:rPr>
          <w:rFonts w:ascii="Times New Roman" w:eastAsia="Times New Roman" w:hAnsi="Times New Roman" w:cs="Times New Roman"/>
          <w:sz w:val="24"/>
          <w:szCs w:val="24"/>
          <w:rtl/>
        </w:rPr>
        <w:t xml:space="preserve"> عبدالهادي الفضلي، الحضارة الإسلامية، مصدر سابق، ص 154.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[43]</w:t>
      </w:r>
      <w:r w:rsidRPr="00F40223">
        <w:rPr>
          <w:rFonts w:ascii="Times New Roman" w:eastAsia="Times New Roman" w:hAnsi="Times New Roman" w:cs="Times New Roman"/>
          <w:sz w:val="24"/>
          <w:szCs w:val="24"/>
          <w:rtl/>
        </w:rPr>
        <w:t xml:space="preserve"> عبدالهادي الفضلي، التقليد والاجتهاد، مصدر سابق، ص 260.</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[44]</w:t>
      </w:r>
      <w:r w:rsidRPr="00F40223">
        <w:rPr>
          <w:rFonts w:ascii="Times New Roman" w:eastAsia="Times New Roman" w:hAnsi="Times New Roman" w:cs="Times New Roman"/>
          <w:sz w:val="24"/>
          <w:szCs w:val="24"/>
          <w:rtl/>
        </w:rPr>
        <w:t xml:space="preserve"> انظر: عبدالهادي الفضلي، المصدر السابق، ص 262 – 263.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[45]</w:t>
      </w:r>
      <w:r w:rsidRPr="00F40223">
        <w:rPr>
          <w:rFonts w:ascii="Times New Roman" w:eastAsia="Times New Roman" w:hAnsi="Times New Roman" w:cs="Times New Roman"/>
          <w:sz w:val="24"/>
          <w:szCs w:val="24"/>
          <w:rtl/>
        </w:rPr>
        <w:t xml:space="preserve"> انظر: دروس في فقه الإمامية، ج5/ 107 – 110.</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[46]</w:t>
      </w:r>
      <w:r w:rsidRPr="00F40223">
        <w:rPr>
          <w:rFonts w:ascii="Times New Roman" w:eastAsia="Times New Roman" w:hAnsi="Times New Roman" w:cs="Times New Roman"/>
          <w:sz w:val="24"/>
          <w:szCs w:val="24"/>
          <w:rtl/>
        </w:rPr>
        <w:t xml:space="preserve"> المصدر السابق، ج5/ 110.</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[47]</w:t>
      </w:r>
      <w:r w:rsidRPr="00F40223">
        <w:rPr>
          <w:rFonts w:ascii="Times New Roman" w:eastAsia="Times New Roman" w:hAnsi="Times New Roman" w:cs="Times New Roman"/>
          <w:sz w:val="24"/>
          <w:szCs w:val="24"/>
          <w:rtl/>
        </w:rPr>
        <w:t xml:space="preserve"> عبدالهادي الفضلي، التقليد والاجتهاد، مصدر سابق، ص 114 – 115، مع تصرّف يسير.</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[48]</w:t>
      </w:r>
      <w:r w:rsidRPr="00F40223">
        <w:rPr>
          <w:rFonts w:ascii="Times New Roman" w:eastAsia="Times New Roman" w:hAnsi="Times New Roman" w:cs="Times New Roman"/>
          <w:sz w:val="24"/>
          <w:szCs w:val="24"/>
          <w:rtl/>
        </w:rPr>
        <w:t xml:space="preserve"> المصدر السابق، ص 108 – 109.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[49]</w:t>
      </w:r>
      <w:r w:rsidRPr="00F40223">
        <w:rPr>
          <w:rFonts w:ascii="Times New Roman" w:eastAsia="Times New Roman" w:hAnsi="Times New Roman" w:cs="Times New Roman"/>
          <w:sz w:val="24"/>
          <w:szCs w:val="24"/>
          <w:rtl/>
        </w:rPr>
        <w:t xml:space="preserve"> المصدر السابق، 270 – 271.</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[50]</w:t>
      </w:r>
      <w:r w:rsidRPr="00F40223">
        <w:rPr>
          <w:rFonts w:ascii="Times New Roman" w:eastAsia="Times New Roman" w:hAnsi="Times New Roman" w:cs="Times New Roman"/>
          <w:sz w:val="24"/>
          <w:szCs w:val="24"/>
          <w:rtl/>
        </w:rPr>
        <w:t xml:space="preserve"> المصدر السابق، ص 215.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[51]</w:t>
      </w:r>
      <w:r w:rsidRPr="00F40223">
        <w:rPr>
          <w:rFonts w:ascii="Times New Roman" w:eastAsia="Times New Roman" w:hAnsi="Times New Roman" w:cs="Times New Roman"/>
          <w:sz w:val="24"/>
          <w:szCs w:val="24"/>
          <w:rtl/>
        </w:rPr>
        <w:t xml:space="preserve"> المصدر السابق، ص 218.</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[52]</w:t>
      </w:r>
      <w:r w:rsidRPr="00F40223">
        <w:rPr>
          <w:rFonts w:ascii="Times New Roman" w:eastAsia="Times New Roman" w:hAnsi="Times New Roman" w:cs="Times New Roman"/>
          <w:sz w:val="24"/>
          <w:szCs w:val="24"/>
          <w:rtl/>
        </w:rPr>
        <w:t xml:space="preserve"> المصدر السابق، ص 225.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[53]</w:t>
      </w:r>
      <w:r w:rsidRPr="00F40223">
        <w:rPr>
          <w:rFonts w:ascii="Times New Roman" w:eastAsia="Times New Roman" w:hAnsi="Times New Roman" w:cs="Times New Roman"/>
          <w:sz w:val="24"/>
          <w:szCs w:val="24"/>
          <w:rtl/>
        </w:rPr>
        <w:t xml:space="preserve"> دروس في فقه الإمامية، مصدر سابق، ج1/ 63.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[54]</w:t>
      </w:r>
      <w:r w:rsidRPr="00F40223">
        <w:rPr>
          <w:rFonts w:ascii="Times New Roman" w:eastAsia="Times New Roman" w:hAnsi="Times New Roman" w:cs="Times New Roman"/>
          <w:sz w:val="24"/>
          <w:szCs w:val="24"/>
          <w:rtl/>
        </w:rPr>
        <w:t xml:space="preserve"> المصدر السابق، ج1/ 73.</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[55]</w:t>
      </w:r>
      <w:r w:rsidRPr="00F40223">
        <w:rPr>
          <w:rFonts w:ascii="Times New Roman" w:eastAsia="Times New Roman" w:hAnsi="Times New Roman" w:cs="Times New Roman"/>
          <w:sz w:val="24"/>
          <w:szCs w:val="24"/>
          <w:rtl/>
        </w:rPr>
        <w:t xml:space="preserve"> المصدر السابق نفسه.</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[56]</w:t>
      </w:r>
      <w:r w:rsidRPr="00F40223">
        <w:rPr>
          <w:rFonts w:ascii="Times New Roman" w:eastAsia="Times New Roman" w:hAnsi="Times New Roman" w:cs="Times New Roman"/>
          <w:sz w:val="24"/>
          <w:szCs w:val="24"/>
          <w:rtl/>
        </w:rPr>
        <w:t xml:space="preserve"> دروس في أصول فقه الإمامية، مصدر سابق، ج2/ 552.</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lastRenderedPageBreak/>
        <w:t>[57]</w:t>
      </w:r>
      <w:r w:rsidRPr="00F40223">
        <w:rPr>
          <w:rFonts w:ascii="Times New Roman" w:eastAsia="Times New Roman" w:hAnsi="Times New Roman" w:cs="Times New Roman"/>
          <w:sz w:val="24"/>
          <w:szCs w:val="24"/>
          <w:rtl/>
        </w:rPr>
        <w:t xml:space="preserve"> المصدر السابق، ج2/ 555.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[58]</w:t>
      </w:r>
      <w:r w:rsidRPr="00F40223">
        <w:rPr>
          <w:rFonts w:ascii="Times New Roman" w:eastAsia="Times New Roman" w:hAnsi="Times New Roman" w:cs="Times New Roman"/>
          <w:sz w:val="24"/>
          <w:szCs w:val="24"/>
          <w:rtl/>
        </w:rPr>
        <w:t xml:space="preserve"> عبدالهادي الفضلي، التقليد والاجتهاد، مصدر سابق، ص 264 – 265.</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[59]</w:t>
      </w:r>
      <w:r w:rsidRPr="00F40223">
        <w:rPr>
          <w:rFonts w:ascii="Times New Roman" w:eastAsia="Times New Roman" w:hAnsi="Times New Roman" w:cs="Times New Roman"/>
          <w:sz w:val="24"/>
          <w:szCs w:val="24"/>
          <w:rtl/>
        </w:rPr>
        <w:t xml:space="preserve"> سورة الإسراء، الآية: 70.</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[60]</w:t>
      </w:r>
      <w:r w:rsidRPr="00F40223">
        <w:rPr>
          <w:rFonts w:ascii="Times New Roman" w:eastAsia="Times New Roman" w:hAnsi="Times New Roman" w:cs="Times New Roman"/>
          <w:sz w:val="24"/>
          <w:szCs w:val="24"/>
          <w:rtl/>
        </w:rPr>
        <w:t xml:space="preserve"> الدكتور عبد الهادي الفضلي، الوحدة الإسلامية أسس البناء ومفاعيل الهدم في المجتمع المسلم، مركز آفاق للدراسات – سيهات، ط1، 1437ﻫ - 2016م، ص 77.</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[61]</w:t>
      </w:r>
      <w:r w:rsidRPr="00F40223">
        <w:rPr>
          <w:rFonts w:ascii="Times New Roman" w:eastAsia="Times New Roman" w:hAnsi="Times New Roman" w:cs="Times New Roman"/>
          <w:sz w:val="24"/>
          <w:szCs w:val="24"/>
          <w:rtl/>
        </w:rPr>
        <w:t xml:space="preserve"> عبدالهادي الفضلي، بحوث فقهية معاصرة، مصدر سابق، ص 314.</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[62]</w:t>
      </w:r>
      <w:r w:rsidRPr="00F40223">
        <w:rPr>
          <w:rFonts w:ascii="Times New Roman" w:eastAsia="Times New Roman" w:hAnsi="Times New Roman" w:cs="Times New Roman"/>
          <w:sz w:val="24"/>
          <w:szCs w:val="24"/>
          <w:rtl/>
        </w:rPr>
        <w:t xml:space="preserve"> المصدر السابق، ص 327 – 328.</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[63]</w:t>
      </w:r>
      <w:r w:rsidRPr="00F40223">
        <w:rPr>
          <w:rFonts w:ascii="Times New Roman" w:eastAsia="Times New Roman" w:hAnsi="Times New Roman" w:cs="Times New Roman"/>
          <w:sz w:val="24"/>
          <w:szCs w:val="24"/>
          <w:rtl/>
        </w:rPr>
        <w:t xml:space="preserve"> المصدر السابق، 329.</w:t>
      </w:r>
    </w:p>
    <w:p w:rsidR="00F40223" w:rsidRPr="00F40223" w:rsidRDefault="00F40223" w:rsidP="00F40223">
      <w:pPr>
        <w:spacing w:before="100" w:beforeAutospacing="1" w:after="100" w:afterAutospacing="1" w:line="240" w:lineRule="auto"/>
        <w:jc w:val="both"/>
        <w:rPr>
          <w:rFonts w:ascii="Times New Roman" w:eastAsia="Times New Roman" w:hAnsi="Times New Roman" w:cs="Times New Roman"/>
          <w:sz w:val="24"/>
          <w:szCs w:val="24"/>
          <w:rtl/>
        </w:rPr>
      </w:pPr>
      <w:r w:rsidRPr="00F40223">
        <w:rPr>
          <w:rFonts w:ascii="Times New Roman" w:eastAsia="Times New Roman" w:hAnsi="Times New Roman" w:cs="Times New Roman"/>
          <w:sz w:val="24"/>
          <w:szCs w:val="24"/>
          <w:vertAlign w:val="superscript"/>
          <w:rtl/>
        </w:rPr>
        <w:t>[64]</w:t>
      </w:r>
      <w:r w:rsidRPr="00F40223">
        <w:rPr>
          <w:rFonts w:ascii="Times New Roman" w:eastAsia="Times New Roman" w:hAnsi="Times New Roman" w:cs="Times New Roman"/>
          <w:sz w:val="24"/>
          <w:szCs w:val="24"/>
          <w:rtl/>
        </w:rPr>
        <w:t xml:space="preserve"> المصدر السابق، ص 333.</w:t>
      </w:r>
    </w:p>
    <w:p w:rsidR="00F40223" w:rsidRPr="00F40223" w:rsidRDefault="00F40223" w:rsidP="00F40223">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p>
    <w:p w:rsidR="006E2206" w:rsidRDefault="006678FF">
      <w:pPr>
        <w:rPr>
          <w:rFonts w:hint="cs"/>
        </w:rPr>
      </w:pPr>
    </w:p>
    <w:sectPr w:rsidR="006E2206" w:rsidSect="00BE349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FF" w:rsidRDefault="006678FF" w:rsidP="00F40223">
      <w:pPr>
        <w:spacing w:after="0" w:line="240" w:lineRule="auto"/>
      </w:pPr>
      <w:r>
        <w:separator/>
      </w:r>
    </w:p>
  </w:endnote>
  <w:endnote w:type="continuationSeparator" w:id="0">
    <w:p w:rsidR="006678FF" w:rsidRDefault="006678FF" w:rsidP="00F4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FF" w:rsidRDefault="006678FF" w:rsidP="00F40223">
      <w:pPr>
        <w:spacing w:after="0" w:line="240" w:lineRule="auto"/>
      </w:pPr>
      <w:r>
        <w:separator/>
      </w:r>
    </w:p>
  </w:footnote>
  <w:footnote w:type="continuationSeparator" w:id="0">
    <w:p w:rsidR="006678FF" w:rsidRDefault="006678FF" w:rsidP="00F40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23"/>
    <w:rsid w:val="003E6E83"/>
    <w:rsid w:val="006678FF"/>
    <w:rsid w:val="00BE349D"/>
    <w:rsid w:val="00F402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22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23"/>
    <w:rPr>
      <w:rFonts w:ascii="Tahoma" w:hAnsi="Tahoma" w:cs="Tahoma"/>
      <w:sz w:val="16"/>
      <w:szCs w:val="16"/>
    </w:rPr>
  </w:style>
  <w:style w:type="paragraph" w:styleId="Header">
    <w:name w:val="header"/>
    <w:basedOn w:val="Normal"/>
    <w:link w:val="HeaderChar"/>
    <w:uiPriority w:val="99"/>
    <w:unhideWhenUsed/>
    <w:rsid w:val="00F40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223"/>
  </w:style>
  <w:style w:type="paragraph" w:styleId="Footer">
    <w:name w:val="footer"/>
    <w:basedOn w:val="Normal"/>
    <w:link w:val="FooterChar"/>
    <w:uiPriority w:val="99"/>
    <w:unhideWhenUsed/>
    <w:rsid w:val="00F40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22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23"/>
    <w:rPr>
      <w:rFonts w:ascii="Tahoma" w:hAnsi="Tahoma" w:cs="Tahoma"/>
      <w:sz w:val="16"/>
      <w:szCs w:val="16"/>
    </w:rPr>
  </w:style>
  <w:style w:type="paragraph" w:styleId="Header">
    <w:name w:val="header"/>
    <w:basedOn w:val="Normal"/>
    <w:link w:val="HeaderChar"/>
    <w:uiPriority w:val="99"/>
    <w:unhideWhenUsed/>
    <w:rsid w:val="00F40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223"/>
  </w:style>
  <w:style w:type="paragraph" w:styleId="Footer">
    <w:name w:val="footer"/>
    <w:basedOn w:val="Normal"/>
    <w:link w:val="FooterChar"/>
    <w:uiPriority w:val="99"/>
    <w:unhideWhenUsed/>
    <w:rsid w:val="00F40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559">
      <w:bodyDiv w:val="1"/>
      <w:marLeft w:val="0"/>
      <w:marRight w:val="0"/>
      <w:marTop w:val="0"/>
      <w:marBottom w:val="0"/>
      <w:divBdr>
        <w:top w:val="none" w:sz="0" w:space="0" w:color="auto"/>
        <w:left w:val="none" w:sz="0" w:space="0" w:color="auto"/>
        <w:bottom w:val="none" w:sz="0" w:space="0" w:color="auto"/>
        <w:right w:val="none" w:sz="0" w:space="0" w:color="auto"/>
      </w:divBdr>
      <w:divsChild>
        <w:div w:id="64301673">
          <w:marLeft w:val="0"/>
          <w:marRight w:val="0"/>
          <w:marTop w:val="0"/>
          <w:marBottom w:val="0"/>
          <w:divBdr>
            <w:top w:val="none" w:sz="0" w:space="0" w:color="auto"/>
            <w:left w:val="none" w:sz="0" w:space="0" w:color="auto"/>
            <w:bottom w:val="none" w:sz="0" w:space="0" w:color="auto"/>
            <w:right w:val="none" w:sz="0" w:space="0" w:color="auto"/>
          </w:divBdr>
        </w:div>
        <w:div w:id="211622094">
          <w:marLeft w:val="0"/>
          <w:marRight w:val="0"/>
          <w:marTop w:val="0"/>
          <w:marBottom w:val="0"/>
          <w:divBdr>
            <w:top w:val="none" w:sz="0" w:space="0" w:color="auto"/>
            <w:left w:val="none" w:sz="0" w:space="0" w:color="auto"/>
            <w:bottom w:val="none" w:sz="0" w:space="0" w:color="auto"/>
            <w:right w:val="none" w:sz="0" w:space="0" w:color="auto"/>
          </w:divBdr>
        </w:div>
        <w:div w:id="493761086">
          <w:marLeft w:val="0"/>
          <w:marRight w:val="0"/>
          <w:marTop w:val="0"/>
          <w:marBottom w:val="0"/>
          <w:divBdr>
            <w:top w:val="none" w:sz="0" w:space="0" w:color="auto"/>
            <w:left w:val="none" w:sz="0" w:space="0" w:color="auto"/>
            <w:bottom w:val="none" w:sz="0" w:space="0" w:color="auto"/>
            <w:right w:val="none" w:sz="0" w:space="0" w:color="auto"/>
          </w:divBdr>
        </w:div>
        <w:div w:id="393312708">
          <w:marLeft w:val="0"/>
          <w:marRight w:val="0"/>
          <w:marTop w:val="0"/>
          <w:marBottom w:val="0"/>
          <w:divBdr>
            <w:top w:val="none" w:sz="0" w:space="0" w:color="auto"/>
            <w:left w:val="none" w:sz="0" w:space="0" w:color="auto"/>
            <w:bottom w:val="none" w:sz="0" w:space="0" w:color="auto"/>
            <w:right w:val="none" w:sz="0" w:space="0" w:color="auto"/>
          </w:divBdr>
        </w:div>
        <w:div w:id="139688865">
          <w:marLeft w:val="0"/>
          <w:marRight w:val="0"/>
          <w:marTop w:val="0"/>
          <w:marBottom w:val="0"/>
          <w:divBdr>
            <w:top w:val="none" w:sz="0" w:space="0" w:color="auto"/>
            <w:left w:val="none" w:sz="0" w:space="0" w:color="auto"/>
            <w:bottom w:val="none" w:sz="0" w:space="0" w:color="auto"/>
            <w:right w:val="none" w:sz="0" w:space="0" w:color="auto"/>
          </w:divBdr>
        </w:div>
        <w:div w:id="71661736">
          <w:marLeft w:val="0"/>
          <w:marRight w:val="0"/>
          <w:marTop w:val="0"/>
          <w:marBottom w:val="0"/>
          <w:divBdr>
            <w:top w:val="none" w:sz="0" w:space="0" w:color="auto"/>
            <w:left w:val="none" w:sz="0" w:space="0" w:color="auto"/>
            <w:bottom w:val="none" w:sz="0" w:space="0" w:color="auto"/>
            <w:right w:val="none" w:sz="0" w:space="0" w:color="auto"/>
          </w:divBdr>
        </w:div>
        <w:div w:id="1787769845">
          <w:marLeft w:val="0"/>
          <w:marRight w:val="0"/>
          <w:marTop w:val="0"/>
          <w:marBottom w:val="0"/>
          <w:divBdr>
            <w:top w:val="none" w:sz="0" w:space="0" w:color="auto"/>
            <w:left w:val="none" w:sz="0" w:space="0" w:color="auto"/>
            <w:bottom w:val="none" w:sz="0" w:space="0" w:color="auto"/>
            <w:right w:val="none" w:sz="0" w:space="0" w:color="auto"/>
          </w:divBdr>
        </w:div>
        <w:div w:id="1350136061">
          <w:marLeft w:val="0"/>
          <w:marRight w:val="0"/>
          <w:marTop w:val="0"/>
          <w:marBottom w:val="0"/>
          <w:divBdr>
            <w:top w:val="none" w:sz="0" w:space="0" w:color="auto"/>
            <w:left w:val="none" w:sz="0" w:space="0" w:color="auto"/>
            <w:bottom w:val="none" w:sz="0" w:space="0" w:color="auto"/>
            <w:right w:val="none" w:sz="0" w:space="0" w:color="auto"/>
          </w:divBdr>
        </w:div>
        <w:div w:id="1294407584">
          <w:marLeft w:val="0"/>
          <w:marRight w:val="0"/>
          <w:marTop w:val="0"/>
          <w:marBottom w:val="0"/>
          <w:divBdr>
            <w:top w:val="none" w:sz="0" w:space="0" w:color="auto"/>
            <w:left w:val="none" w:sz="0" w:space="0" w:color="auto"/>
            <w:bottom w:val="none" w:sz="0" w:space="0" w:color="auto"/>
            <w:right w:val="none" w:sz="0" w:space="0" w:color="auto"/>
          </w:divBdr>
        </w:div>
        <w:div w:id="1847204555">
          <w:marLeft w:val="0"/>
          <w:marRight w:val="0"/>
          <w:marTop w:val="0"/>
          <w:marBottom w:val="0"/>
          <w:divBdr>
            <w:top w:val="none" w:sz="0" w:space="0" w:color="auto"/>
            <w:left w:val="none" w:sz="0" w:space="0" w:color="auto"/>
            <w:bottom w:val="none" w:sz="0" w:space="0" w:color="auto"/>
            <w:right w:val="none" w:sz="0" w:space="0" w:color="auto"/>
          </w:divBdr>
        </w:div>
        <w:div w:id="1774518947">
          <w:marLeft w:val="0"/>
          <w:marRight w:val="0"/>
          <w:marTop w:val="0"/>
          <w:marBottom w:val="0"/>
          <w:divBdr>
            <w:top w:val="none" w:sz="0" w:space="0" w:color="auto"/>
            <w:left w:val="none" w:sz="0" w:space="0" w:color="auto"/>
            <w:bottom w:val="none" w:sz="0" w:space="0" w:color="auto"/>
            <w:right w:val="none" w:sz="0" w:space="0" w:color="auto"/>
          </w:divBdr>
        </w:div>
        <w:div w:id="803815583">
          <w:marLeft w:val="0"/>
          <w:marRight w:val="0"/>
          <w:marTop w:val="0"/>
          <w:marBottom w:val="0"/>
          <w:divBdr>
            <w:top w:val="none" w:sz="0" w:space="0" w:color="auto"/>
            <w:left w:val="none" w:sz="0" w:space="0" w:color="auto"/>
            <w:bottom w:val="none" w:sz="0" w:space="0" w:color="auto"/>
            <w:right w:val="none" w:sz="0" w:space="0" w:color="auto"/>
          </w:divBdr>
        </w:div>
        <w:div w:id="636452013">
          <w:marLeft w:val="0"/>
          <w:marRight w:val="0"/>
          <w:marTop w:val="0"/>
          <w:marBottom w:val="0"/>
          <w:divBdr>
            <w:top w:val="none" w:sz="0" w:space="0" w:color="auto"/>
            <w:left w:val="none" w:sz="0" w:space="0" w:color="auto"/>
            <w:bottom w:val="none" w:sz="0" w:space="0" w:color="auto"/>
            <w:right w:val="none" w:sz="0" w:space="0" w:color="auto"/>
          </w:divBdr>
        </w:div>
        <w:div w:id="491143831">
          <w:marLeft w:val="0"/>
          <w:marRight w:val="0"/>
          <w:marTop w:val="0"/>
          <w:marBottom w:val="0"/>
          <w:divBdr>
            <w:top w:val="none" w:sz="0" w:space="0" w:color="auto"/>
            <w:left w:val="none" w:sz="0" w:space="0" w:color="auto"/>
            <w:bottom w:val="none" w:sz="0" w:space="0" w:color="auto"/>
            <w:right w:val="none" w:sz="0" w:space="0" w:color="auto"/>
          </w:divBdr>
        </w:div>
        <w:div w:id="1136067373">
          <w:marLeft w:val="0"/>
          <w:marRight w:val="0"/>
          <w:marTop w:val="0"/>
          <w:marBottom w:val="0"/>
          <w:divBdr>
            <w:top w:val="none" w:sz="0" w:space="0" w:color="auto"/>
            <w:left w:val="none" w:sz="0" w:space="0" w:color="auto"/>
            <w:bottom w:val="none" w:sz="0" w:space="0" w:color="auto"/>
            <w:right w:val="none" w:sz="0" w:space="0" w:color="auto"/>
          </w:divBdr>
        </w:div>
        <w:div w:id="1689939533">
          <w:marLeft w:val="0"/>
          <w:marRight w:val="0"/>
          <w:marTop w:val="0"/>
          <w:marBottom w:val="0"/>
          <w:divBdr>
            <w:top w:val="none" w:sz="0" w:space="0" w:color="auto"/>
            <w:left w:val="none" w:sz="0" w:space="0" w:color="auto"/>
            <w:bottom w:val="none" w:sz="0" w:space="0" w:color="auto"/>
            <w:right w:val="none" w:sz="0" w:space="0" w:color="auto"/>
          </w:divBdr>
        </w:div>
        <w:div w:id="669917793">
          <w:marLeft w:val="0"/>
          <w:marRight w:val="0"/>
          <w:marTop w:val="0"/>
          <w:marBottom w:val="0"/>
          <w:divBdr>
            <w:top w:val="none" w:sz="0" w:space="0" w:color="auto"/>
            <w:left w:val="none" w:sz="0" w:space="0" w:color="auto"/>
            <w:bottom w:val="none" w:sz="0" w:space="0" w:color="auto"/>
            <w:right w:val="none" w:sz="0" w:space="0" w:color="auto"/>
          </w:divBdr>
        </w:div>
        <w:div w:id="2074350674">
          <w:marLeft w:val="0"/>
          <w:marRight w:val="0"/>
          <w:marTop w:val="0"/>
          <w:marBottom w:val="0"/>
          <w:divBdr>
            <w:top w:val="none" w:sz="0" w:space="0" w:color="auto"/>
            <w:left w:val="none" w:sz="0" w:space="0" w:color="auto"/>
            <w:bottom w:val="none" w:sz="0" w:space="0" w:color="auto"/>
            <w:right w:val="none" w:sz="0" w:space="0" w:color="auto"/>
          </w:divBdr>
        </w:div>
        <w:div w:id="525604441">
          <w:marLeft w:val="0"/>
          <w:marRight w:val="0"/>
          <w:marTop w:val="0"/>
          <w:marBottom w:val="0"/>
          <w:divBdr>
            <w:top w:val="none" w:sz="0" w:space="0" w:color="auto"/>
            <w:left w:val="none" w:sz="0" w:space="0" w:color="auto"/>
            <w:bottom w:val="none" w:sz="0" w:space="0" w:color="auto"/>
            <w:right w:val="none" w:sz="0" w:space="0" w:color="auto"/>
          </w:divBdr>
        </w:div>
        <w:div w:id="1798908874">
          <w:marLeft w:val="0"/>
          <w:marRight w:val="0"/>
          <w:marTop w:val="0"/>
          <w:marBottom w:val="0"/>
          <w:divBdr>
            <w:top w:val="none" w:sz="0" w:space="0" w:color="auto"/>
            <w:left w:val="none" w:sz="0" w:space="0" w:color="auto"/>
            <w:bottom w:val="none" w:sz="0" w:space="0" w:color="auto"/>
            <w:right w:val="none" w:sz="0" w:space="0" w:color="auto"/>
          </w:divBdr>
        </w:div>
        <w:div w:id="2003966355">
          <w:marLeft w:val="0"/>
          <w:marRight w:val="0"/>
          <w:marTop w:val="0"/>
          <w:marBottom w:val="0"/>
          <w:divBdr>
            <w:top w:val="none" w:sz="0" w:space="0" w:color="auto"/>
            <w:left w:val="none" w:sz="0" w:space="0" w:color="auto"/>
            <w:bottom w:val="none" w:sz="0" w:space="0" w:color="auto"/>
            <w:right w:val="none" w:sz="0" w:space="0" w:color="auto"/>
          </w:divBdr>
        </w:div>
        <w:div w:id="736512253">
          <w:marLeft w:val="0"/>
          <w:marRight w:val="0"/>
          <w:marTop w:val="0"/>
          <w:marBottom w:val="0"/>
          <w:divBdr>
            <w:top w:val="none" w:sz="0" w:space="0" w:color="auto"/>
            <w:left w:val="none" w:sz="0" w:space="0" w:color="auto"/>
            <w:bottom w:val="none" w:sz="0" w:space="0" w:color="auto"/>
            <w:right w:val="none" w:sz="0" w:space="0" w:color="auto"/>
          </w:divBdr>
        </w:div>
        <w:div w:id="789671280">
          <w:marLeft w:val="0"/>
          <w:marRight w:val="0"/>
          <w:marTop w:val="0"/>
          <w:marBottom w:val="0"/>
          <w:divBdr>
            <w:top w:val="none" w:sz="0" w:space="0" w:color="auto"/>
            <w:left w:val="none" w:sz="0" w:space="0" w:color="auto"/>
            <w:bottom w:val="none" w:sz="0" w:space="0" w:color="auto"/>
            <w:right w:val="none" w:sz="0" w:space="0" w:color="auto"/>
          </w:divBdr>
        </w:div>
        <w:div w:id="426197498">
          <w:marLeft w:val="0"/>
          <w:marRight w:val="0"/>
          <w:marTop w:val="0"/>
          <w:marBottom w:val="0"/>
          <w:divBdr>
            <w:top w:val="none" w:sz="0" w:space="0" w:color="auto"/>
            <w:left w:val="none" w:sz="0" w:space="0" w:color="auto"/>
            <w:bottom w:val="none" w:sz="0" w:space="0" w:color="auto"/>
            <w:right w:val="none" w:sz="0" w:space="0" w:color="auto"/>
          </w:divBdr>
        </w:div>
        <w:div w:id="919559536">
          <w:marLeft w:val="0"/>
          <w:marRight w:val="0"/>
          <w:marTop w:val="0"/>
          <w:marBottom w:val="0"/>
          <w:divBdr>
            <w:top w:val="none" w:sz="0" w:space="0" w:color="auto"/>
            <w:left w:val="none" w:sz="0" w:space="0" w:color="auto"/>
            <w:bottom w:val="none" w:sz="0" w:space="0" w:color="auto"/>
            <w:right w:val="none" w:sz="0" w:space="0" w:color="auto"/>
          </w:divBdr>
        </w:div>
        <w:div w:id="1144543286">
          <w:marLeft w:val="0"/>
          <w:marRight w:val="0"/>
          <w:marTop w:val="0"/>
          <w:marBottom w:val="0"/>
          <w:divBdr>
            <w:top w:val="none" w:sz="0" w:space="0" w:color="auto"/>
            <w:left w:val="none" w:sz="0" w:space="0" w:color="auto"/>
            <w:bottom w:val="none" w:sz="0" w:space="0" w:color="auto"/>
            <w:right w:val="none" w:sz="0" w:space="0" w:color="auto"/>
          </w:divBdr>
        </w:div>
        <w:div w:id="956255898">
          <w:marLeft w:val="0"/>
          <w:marRight w:val="0"/>
          <w:marTop w:val="0"/>
          <w:marBottom w:val="0"/>
          <w:divBdr>
            <w:top w:val="none" w:sz="0" w:space="0" w:color="auto"/>
            <w:left w:val="none" w:sz="0" w:space="0" w:color="auto"/>
            <w:bottom w:val="none" w:sz="0" w:space="0" w:color="auto"/>
            <w:right w:val="none" w:sz="0" w:space="0" w:color="auto"/>
          </w:divBdr>
        </w:div>
        <w:div w:id="165025727">
          <w:marLeft w:val="0"/>
          <w:marRight w:val="0"/>
          <w:marTop w:val="0"/>
          <w:marBottom w:val="0"/>
          <w:divBdr>
            <w:top w:val="none" w:sz="0" w:space="0" w:color="auto"/>
            <w:left w:val="none" w:sz="0" w:space="0" w:color="auto"/>
            <w:bottom w:val="none" w:sz="0" w:space="0" w:color="auto"/>
            <w:right w:val="none" w:sz="0" w:space="0" w:color="auto"/>
          </w:divBdr>
        </w:div>
        <w:div w:id="2038694437">
          <w:marLeft w:val="0"/>
          <w:marRight w:val="0"/>
          <w:marTop w:val="0"/>
          <w:marBottom w:val="0"/>
          <w:divBdr>
            <w:top w:val="none" w:sz="0" w:space="0" w:color="auto"/>
            <w:left w:val="none" w:sz="0" w:space="0" w:color="auto"/>
            <w:bottom w:val="none" w:sz="0" w:space="0" w:color="auto"/>
            <w:right w:val="none" w:sz="0" w:space="0" w:color="auto"/>
          </w:divBdr>
        </w:div>
        <w:div w:id="1462109306">
          <w:marLeft w:val="0"/>
          <w:marRight w:val="0"/>
          <w:marTop w:val="0"/>
          <w:marBottom w:val="0"/>
          <w:divBdr>
            <w:top w:val="none" w:sz="0" w:space="0" w:color="auto"/>
            <w:left w:val="none" w:sz="0" w:space="0" w:color="auto"/>
            <w:bottom w:val="none" w:sz="0" w:space="0" w:color="auto"/>
            <w:right w:val="none" w:sz="0" w:space="0" w:color="auto"/>
          </w:divBdr>
        </w:div>
        <w:div w:id="922683715">
          <w:marLeft w:val="0"/>
          <w:marRight w:val="0"/>
          <w:marTop w:val="0"/>
          <w:marBottom w:val="0"/>
          <w:divBdr>
            <w:top w:val="none" w:sz="0" w:space="0" w:color="auto"/>
            <w:left w:val="none" w:sz="0" w:space="0" w:color="auto"/>
            <w:bottom w:val="none" w:sz="0" w:space="0" w:color="auto"/>
            <w:right w:val="none" w:sz="0" w:space="0" w:color="auto"/>
          </w:divBdr>
        </w:div>
        <w:div w:id="1229221370">
          <w:marLeft w:val="0"/>
          <w:marRight w:val="0"/>
          <w:marTop w:val="0"/>
          <w:marBottom w:val="0"/>
          <w:divBdr>
            <w:top w:val="none" w:sz="0" w:space="0" w:color="auto"/>
            <w:left w:val="none" w:sz="0" w:space="0" w:color="auto"/>
            <w:bottom w:val="none" w:sz="0" w:space="0" w:color="auto"/>
            <w:right w:val="none" w:sz="0" w:space="0" w:color="auto"/>
          </w:divBdr>
        </w:div>
        <w:div w:id="792211206">
          <w:marLeft w:val="0"/>
          <w:marRight w:val="0"/>
          <w:marTop w:val="0"/>
          <w:marBottom w:val="0"/>
          <w:divBdr>
            <w:top w:val="none" w:sz="0" w:space="0" w:color="auto"/>
            <w:left w:val="none" w:sz="0" w:space="0" w:color="auto"/>
            <w:bottom w:val="none" w:sz="0" w:space="0" w:color="auto"/>
            <w:right w:val="none" w:sz="0" w:space="0" w:color="auto"/>
          </w:divBdr>
        </w:div>
        <w:div w:id="2112048512">
          <w:marLeft w:val="0"/>
          <w:marRight w:val="0"/>
          <w:marTop w:val="0"/>
          <w:marBottom w:val="0"/>
          <w:divBdr>
            <w:top w:val="none" w:sz="0" w:space="0" w:color="auto"/>
            <w:left w:val="none" w:sz="0" w:space="0" w:color="auto"/>
            <w:bottom w:val="none" w:sz="0" w:space="0" w:color="auto"/>
            <w:right w:val="none" w:sz="0" w:space="0" w:color="auto"/>
          </w:divBdr>
        </w:div>
        <w:div w:id="1005472487">
          <w:marLeft w:val="0"/>
          <w:marRight w:val="0"/>
          <w:marTop w:val="0"/>
          <w:marBottom w:val="0"/>
          <w:divBdr>
            <w:top w:val="none" w:sz="0" w:space="0" w:color="auto"/>
            <w:left w:val="none" w:sz="0" w:space="0" w:color="auto"/>
            <w:bottom w:val="none" w:sz="0" w:space="0" w:color="auto"/>
            <w:right w:val="none" w:sz="0" w:space="0" w:color="auto"/>
          </w:divBdr>
        </w:div>
        <w:div w:id="721170046">
          <w:marLeft w:val="0"/>
          <w:marRight w:val="0"/>
          <w:marTop w:val="0"/>
          <w:marBottom w:val="0"/>
          <w:divBdr>
            <w:top w:val="none" w:sz="0" w:space="0" w:color="auto"/>
            <w:left w:val="none" w:sz="0" w:space="0" w:color="auto"/>
            <w:bottom w:val="none" w:sz="0" w:space="0" w:color="auto"/>
            <w:right w:val="none" w:sz="0" w:space="0" w:color="auto"/>
          </w:divBdr>
        </w:div>
        <w:div w:id="471024211">
          <w:marLeft w:val="0"/>
          <w:marRight w:val="0"/>
          <w:marTop w:val="0"/>
          <w:marBottom w:val="0"/>
          <w:divBdr>
            <w:top w:val="none" w:sz="0" w:space="0" w:color="auto"/>
            <w:left w:val="none" w:sz="0" w:space="0" w:color="auto"/>
            <w:bottom w:val="none" w:sz="0" w:space="0" w:color="auto"/>
            <w:right w:val="none" w:sz="0" w:space="0" w:color="auto"/>
          </w:divBdr>
        </w:div>
        <w:div w:id="95760274">
          <w:marLeft w:val="0"/>
          <w:marRight w:val="0"/>
          <w:marTop w:val="0"/>
          <w:marBottom w:val="0"/>
          <w:divBdr>
            <w:top w:val="none" w:sz="0" w:space="0" w:color="auto"/>
            <w:left w:val="none" w:sz="0" w:space="0" w:color="auto"/>
            <w:bottom w:val="none" w:sz="0" w:space="0" w:color="auto"/>
            <w:right w:val="none" w:sz="0" w:space="0" w:color="auto"/>
          </w:divBdr>
        </w:div>
        <w:div w:id="156849260">
          <w:marLeft w:val="0"/>
          <w:marRight w:val="0"/>
          <w:marTop w:val="0"/>
          <w:marBottom w:val="0"/>
          <w:divBdr>
            <w:top w:val="none" w:sz="0" w:space="0" w:color="auto"/>
            <w:left w:val="none" w:sz="0" w:space="0" w:color="auto"/>
            <w:bottom w:val="none" w:sz="0" w:space="0" w:color="auto"/>
            <w:right w:val="none" w:sz="0" w:space="0" w:color="auto"/>
          </w:divBdr>
        </w:div>
        <w:div w:id="1136068396">
          <w:marLeft w:val="0"/>
          <w:marRight w:val="0"/>
          <w:marTop w:val="0"/>
          <w:marBottom w:val="0"/>
          <w:divBdr>
            <w:top w:val="none" w:sz="0" w:space="0" w:color="auto"/>
            <w:left w:val="none" w:sz="0" w:space="0" w:color="auto"/>
            <w:bottom w:val="none" w:sz="0" w:space="0" w:color="auto"/>
            <w:right w:val="none" w:sz="0" w:space="0" w:color="auto"/>
          </w:divBdr>
        </w:div>
        <w:div w:id="608127942">
          <w:marLeft w:val="0"/>
          <w:marRight w:val="0"/>
          <w:marTop w:val="0"/>
          <w:marBottom w:val="0"/>
          <w:divBdr>
            <w:top w:val="none" w:sz="0" w:space="0" w:color="auto"/>
            <w:left w:val="none" w:sz="0" w:space="0" w:color="auto"/>
            <w:bottom w:val="none" w:sz="0" w:space="0" w:color="auto"/>
            <w:right w:val="none" w:sz="0" w:space="0" w:color="auto"/>
          </w:divBdr>
        </w:div>
        <w:div w:id="365260297">
          <w:marLeft w:val="0"/>
          <w:marRight w:val="0"/>
          <w:marTop w:val="0"/>
          <w:marBottom w:val="0"/>
          <w:divBdr>
            <w:top w:val="none" w:sz="0" w:space="0" w:color="auto"/>
            <w:left w:val="none" w:sz="0" w:space="0" w:color="auto"/>
            <w:bottom w:val="none" w:sz="0" w:space="0" w:color="auto"/>
            <w:right w:val="none" w:sz="0" w:space="0" w:color="auto"/>
          </w:divBdr>
        </w:div>
        <w:div w:id="49037251">
          <w:marLeft w:val="0"/>
          <w:marRight w:val="0"/>
          <w:marTop w:val="0"/>
          <w:marBottom w:val="0"/>
          <w:divBdr>
            <w:top w:val="none" w:sz="0" w:space="0" w:color="auto"/>
            <w:left w:val="none" w:sz="0" w:space="0" w:color="auto"/>
            <w:bottom w:val="none" w:sz="0" w:space="0" w:color="auto"/>
            <w:right w:val="none" w:sz="0" w:space="0" w:color="auto"/>
          </w:divBdr>
        </w:div>
        <w:div w:id="895699935">
          <w:marLeft w:val="0"/>
          <w:marRight w:val="0"/>
          <w:marTop w:val="0"/>
          <w:marBottom w:val="0"/>
          <w:divBdr>
            <w:top w:val="none" w:sz="0" w:space="0" w:color="auto"/>
            <w:left w:val="none" w:sz="0" w:space="0" w:color="auto"/>
            <w:bottom w:val="none" w:sz="0" w:space="0" w:color="auto"/>
            <w:right w:val="none" w:sz="0" w:space="0" w:color="auto"/>
          </w:divBdr>
        </w:div>
        <w:div w:id="1430590014">
          <w:marLeft w:val="0"/>
          <w:marRight w:val="0"/>
          <w:marTop w:val="0"/>
          <w:marBottom w:val="0"/>
          <w:divBdr>
            <w:top w:val="none" w:sz="0" w:space="0" w:color="auto"/>
            <w:left w:val="none" w:sz="0" w:space="0" w:color="auto"/>
            <w:bottom w:val="none" w:sz="0" w:space="0" w:color="auto"/>
            <w:right w:val="none" w:sz="0" w:space="0" w:color="auto"/>
          </w:divBdr>
        </w:div>
        <w:div w:id="1787044754">
          <w:marLeft w:val="0"/>
          <w:marRight w:val="0"/>
          <w:marTop w:val="0"/>
          <w:marBottom w:val="0"/>
          <w:divBdr>
            <w:top w:val="none" w:sz="0" w:space="0" w:color="auto"/>
            <w:left w:val="none" w:sz="0" w:space="0" w:color="auto"/>
            <w:bottom w:val="none" w:sz="0" w:space="0" w:color="auto"/>
            <w:right w:val="none" w:sz="0" w:space="0" w:color="auto"/>
          </w:divBdr>
        </w:div>
        <w:div w:id="832571890">
          <w:marLeft w:val="0"/>
          <w:marRight w:val="0"/>
          <w:marTop w:val="0"/>
          <w:marBottom w:val="0"/>
          <w:divBdr>
            <w:top w:val="none" w:sz="0" w:space="0" w:color="auto"/>
            <w:left w:val="none" w:sz="0" w:space="0" w:color="auto"/>
            <w:bottom w:val="none" w:sz="0" w:space="0" w:color="auto"/>
            <w:right w:val="none" w:sz="0" w:space="0" w:color="auto"/>
          </w:divBdr>
        </w:div>
        <w:div w:id="488716796">
          <w:marLeft w:val="0"/>
          <w:marRight w:val="0"/>
          <w:marTop w:val="0"/>
          <w:marBottom w:val="0"/>
          <w:divBdr>
            <w:top w:val="none" w:sz="0" w:space="0" w:color="auto"/>
            <w:left w:val="none" w:sz="0" w:space="0" w:color="auto"/>
            <w:bottom w:val="none" w:sz="0" w:space="0" w:color="auto"/>
            <w:right w:val="none" w:sz="0" w:space="0" w:color="auto"/>
          </w:divBdr>
        </w:div>
        <w:div w:id="320734906">
          <w:marLeft w:val="0"/>
          <w:marRight w:val="0"/>
          <w:marTop w:val="0"/>
          <w:marBottom w:val="0"/>
          <w:divBdr>
            <w:top w:val="none" w:sz="0" w:space="0" w:color="auto"/>
            <w:left w:val="none" w:sz="0" w:space="0" w:color="auto"/>
            <w:bottom w:val="none" w:sz="0" w:space="0" w:color="auto"/>
            <w:right w:val="none" w:sz="0" w:space="0" w:color="auto"/>
          </w:divBdr>
        </w:div>
        <w:div w:id="617374765">
          <w:marLeft w:val="0"/>
          <w:marRight w:val="0"/>
          <w:marTop w:val="0"/>
          <w:marBottom w:val="0"/>
          <w:divBdr>
            <w:top w:val="none" w:sz="0" w:space="0" w:color="auto"/>
            <w:left w:val="none" w:sz="0" w:space="0" w:color="auto"/>
            <w:bottom w:val="none" w:sz="0" w:space="0" w:color="auto"/>
            <w:right w:val="none" w:sz="0" w:space="0" w:color="auto"/>
          </w:divBdr>
        </w:div>
        <w:div w:id="624506066">
          <w:marLeft w:val="0"/>
          <w:marRight w:val="0"/>
          <w:marTop w:val="0"/>
          <w:marBottom w:val="0"/>
          <w:divBdr>
            <w:top w:val="none" w:sz="0" w:space="0" w:color="auto"/>
            <w:left w:val="none" w:sz="0" w:space="0" w:color="auto"/>
            <w:bottom w:val="none" w:sz="0" w:space="0" w:color="auto"/>
            <w:right w:val="none" w:sz="0" w:space="0" w:color="auto"/>
          </w:divBdr>
        </w:div>
        <w:div w:id="1692299135">
          <w:marLeft w:val="0"/>
          <w:marRight w:val="0"/>
          <w:marTop w:val="0"/>
          <w:marBottom w:val="0"/>
          <w:divBdr>
            <w:top w:val="none" w:sz="0" w:space="0" w:color="auto"/>
            <w:left w:val="none" w:sz="0" w:space="0" w:color="auto"/>
            <w:bottom w:val="none" w:sz="0" w:space="0" w:color="auto"/>
            <w:right w:val="none" w:sz="0" w:space="0" w:color="auto"/>
          </w:divBdr>
        </w:div>
        <w:div w:id="256452533">
          <w:marLeft w:val="0"/>
          <w:marRight w:val="0"/>
          <w:marTop w:val="0"/>
          <w:marBottom w:val="0"/>
          <w:divBdr>
            <w:top w:val="none" w:sz="0" w:space="0" w:color="auto"/>
            <w:left w:val="none" w:sz="0" w:space="0" w:color="auto"/>
            <w:bottom w:val="none" w:sz="0" w:space="0" w:color="auto"/>
            <w:right w:val="none" w:sz="0" w:space="0" w:color="auto"/>
          </w:divBdr>
        </w:div>
        <w:div w:id="1381393995">
          <w:marLeft w:val="0"/>
          <w:marRight w:val="0"/>
          <w:marTop w:val="0"/>
          <w:marBottom w:val="0"/>
          <w:divBdr>
            <w:top w:val="none" w:sz="0" w:space="0" w:color="auto"/>
            <w:left w:val="none" w:sz="0" w:space="0" w:color="auto"/>
            <w:bottom w:val="none" w:sz="0" w:space="0" w:color="auto"/>
            <w:right w:val="none" w:sz="0" w:space="0" w:color="auto"/>
          </w:divBdr>
        </w:div>
        <w:div w:id="1715425885">
          <w:marLeft w:val="0"/>
          <w:marRight w:val="0"/>
          <w:marTop w:val="0"/>
          <w:marBottom w:val="0"/>
          <w:divBdr>
            <w:top w:val="none" w:sz="0" w:space="0" w:color="auto"/>
            <w:left w:val="none" w:sz="0" w:space="0" w:color="auto"/>
            <w:bottom w:val="none" w:sz="0" w:space="0" w:color="auto"/>
            <w:right w:val="none" w:sz="0" w:space="0" w:color="auto"/>
          </w:divBdr>
        </w:div>
        <w:div w:id="1833258668">
          <w:marLeft w:val="0"/>
          <w:marRight w:val="0"/>
          <w:marTop w:val="0"/>
          <w:marBottom w:val="0"/>
          <w:divBdr>
            <w:top w:val="none" w:sz="0" w:space="0" w:color="auto"/>
            <w:left w:val="none" w:sz="0" w:space="0" w:color="auto"/>
            <w:bottom w:val="none" w:sz="0" w:space="0" w:color="auto"/>
            <w:right w:val="none" w:sz="0" w:space="0" w:color="auto"/>
          </w:divBdr>
        </w:div>
        <w:div w:id="1155561819">
          <w:marLeft w:val="0"/>
          <w:marRight w:val="0"/>
          <w:marTop w:val="0"/>
          <w:marBottom w:val="0"/>
          <w:divBdr>
            <w:top w:val="none" w:sz="0" w:space="0" w:color="auto"/>
            <w:left w:val="none" w:sz="0" w:space="0" w:color="auto"/>
            <w:bottom w:val="none" w:sz="0" w:space="0" w:color="auto"/>
            <w:right w:val="none" w:sz="0" w:space="0" w:color="auto"/>
          </w:divBdr>
        </w:div>
        <w:div w:id="1318997096">
          <w:marLeft w:val="0"/>
          <w:marRight w:val="0"/>
          <w:marTop w:val="0"/>
          <w:marBottom w:val="0"/>
          <w:divBdr>
            <w:top w:val="none" w:sz="0" w:space="0" w:color="auto"/>
            <w:left w:val="none" w:sz="0" w:space="0" w:color="auto"/>
            <w:bottom w:val="none" w:sz="0" w:space="0" w:color="auto"/>
            <w:right w:val="none" w:sz="0" w:space="0" w:color="auto"/>
          </w:divBdr>
        </w:div>
        <w:div w:id="1505514462">
          <w:marLeft w:val="0"/>
          <w:marRight w:val="0"/>
          <w:marTop w:val="0"/>
          <w:marBottom w:val="0"/>
          <w:divBdr>
            <w:top w:val="none" w:sz="0" w:space="0" w:color="auto"/>
            <w:left w:val="none" w:sz="0" w:space="0" w:color="auto"/>
            <w:bottom w:val="none" w:sz="0" w:space="0" w:color="auto"/>
            <w:right w:val="none" w:sz="0" w:space="0" w:color="auto"/>
          </w:divBdr>
        </w:div>
        <w:div w:id="451825594">
          <w:marLeft w:val="0"/>
          <w:marRight w:val="0"/>
          <w:marTop w:val="0"/>
          <w:marBottom w:val="0"/>
          <w:divBdr>
            <w:top w:val="none" w:sz="0" w:space="0" w:color="auto"/>
            <w:left w:val="none" w:sz="0" w:space="0" w:color="auto"/>
            <w:bottom w:val="none" w:sz="0" w:space="0" w:color="auto"/>
            <w:right w:val="none" w:sz="0" w:space="0" w:color="auto"/>
          </w:divBdr>
        </w:div>
        <w:div w:id="584342713">
          <w:marLeft w:val="0"/>
          <w:marRight w:val="0"/>
          <w:marTop w:val="0"/>
          <w:marBottom w:val="0"/>
          <w:divBdr>
            <w:top w:val="none" w:sz="0" w:space="0" w:color="auto"/>
            <w:left w:val="none" w:sz="0" w:space="0" w:color="auto"/>
            <w:bottom w:val="none" w:sz="0" w:space="0" w:color="auto"/>
            <w:right w:val="none" w:sz="0" w:space="0" w:color="auto"/>
          </w:divBdr>
        </w:div>
        <w:div w:id="983893765">
          <w:marLeft w:val="0"/>
          <w:marRight w:val="0"/>
          <w:marTop w:val="0"/>
          <w:marBottom w:val="0"/>
          <w:divBdr>
            <w:top w:val="none" w:sz="0" w:space="0" w:color="auto"/>
            <w:left w:val="none" w:sz="0" w:space="0" w:color="auto"/>
            <w:bottom w:val="none" w:sz="0" w:space="0" w:color="auto"/>
            <w:right w:val="none" w:sz="0" w:space="0" w:color="auto"/>
          </w:divBdr>
        </w:div>
        <w:div w:id="1742629584">
          <w:marLeft w:val="0"/>
          <w:marRight w:val="0"/>
          <w:marTop w:val="0"/>
          <w:marBottom w:val="0"/>
          <w:divBdr>
            <w:top w:val="none" w:sz="0" w:space="0" w:color="auto"/>
            <w:left w:val="none" w:sz="0" w:space="0" w:color="auto"/>
            <w:bottom w:val="none" w:sz="0" w:space="0" w:color="auto"/>
            <w:right w:val="none" w:sz="0" w:space="0" w:color="auto"/>
          </w:divBdr>
        </w:div>
        <w:div w:id="175454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9072</Words>
  <Characters>51717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2020-01-13T15:29:00Z</cp:lastPrinted>
  <dcterms:created xsi:type="dcterms:W3CDTF">2020-01-13T15:24:00Z</dcterms:created>
  <dcterms:modified xsi:type="dcterms:W3CDTF">2020-01-13T15:29:00Z</dcterms:modified>
</cp:coreProperties>
</file>